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F8" w:rsidRPr="00581EF8" w:rsidRDefault="00581EF8" w:rsidP="00581EF8">
      <w:pPr>
        <w:spacing w:line="240" w:lineRule="auto"/>
        <w:ind w:right="-1" w:firstLine="0"/>
        <w:rPr>
          <w:rFonts w:ascii="Arial" w:hAnsi="Arial" w:cs="Arial"/>
          <w:b/>
          <w:sz w:val="24"/>
          <w:szCs w:val="24"/>
          <w:u w:val="single"/>
        </w:rPr>
      </w:pPr>
      <w:r w:rsidRPr="00581EF8">
        <w:rPr>
          <w:rFonts w:ascii="Arial" w:hAnsi="Arial" w:cs="Arial"/>
          <w:b/>
          <w:sz w:val="24"/>
          <w:szCs w:val="24"/>
          <w:u w:val="single"/>
        </w:rPr>
        <w:t>DECRETO Nº 19</w:t>
      </w:r>
      <w:r w:rsidRPr="00581EF8">
        <w:rPr>
          <w:rFonts w:ascii="Arial" w:hAnsi="Arial" w:cs="Arial"/>
          <w:b/>
          <w:sz w:val="24"/>
          <w:szCs w:val="24"/>
          <w:u w:val="single"/>
        </w:rPr>
        <w:t>8</w:t>
      </w:r>
      <w:r w:rsidRPr="00581EF8">
        <w:rPr>
          <w:rFonts w:ascii="Arial" w:hAnsi="Arial" w:cs="Arial"/>
          <w:b/>
          <w:sz w:val="24"/>
          <w:szCs w:val="24"/>
          <w:u w:val="single"/>
        </w:rPr>
        <w:t>, DE 2</w:t>
      </w:r>
      <w:r w:rsidRPr="00581EF8">
        <w:rPr>
          <w:rFonts w:ascii="Arial" w:hAnsi="Arial" w:cs="Arial"/>
          <w:b/>
          <w:sz w:val="24"/>
          <w:szCs w:val="24"/>
          <w:u w:val="single"/>
        </w:rPr>
        <w:t>2</w:t>
      </w:r>
      <w:r w:rsidRPr="00581EF8">
        <w:rPr>
          <w:rFonts w:ascii="Arial" w:hAnsi="Arial" w:cs="Arial"/>
          <w:b/>
          <w:sz w:val="24"/>
          <w:szCs w:val="24"/>
          <w:u w:val="single"/>
        </w:rPr>
        <w:t xml:space="preserve"> DE MARÇO DE 2022</w:t>
      </w:r>
    </w:p>
    <w:p w:rsidR="00581EF8" w:rsidRPr="00581EF8" w:rsidRDefault="00581EF8" w:rsidP="00581EF8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3686" w:right="-1" w:firstLine="0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sz w:val="24"/>
          <w:szCs w:val="24"/>
        </w:rPr>
        <w:t xml:space="preserve">DESIGNA A COMISSÃO CENTRAL ORGANIZADORA PARA AS FESTIVIDADES AO 33º ANVIERSÁRIO DE EMANCIPAÇÃO POLÍTICO-ADMINISTRATIVA DE TIMBÓ GRANDE E DÁ OUTRAS PROVIDÊNCIAS. </w:t>
      </w: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Style w:val="Forte"/>
          <w:rFonts w:ascii="Arial" w:hAnsi="Arial" w:cs="Arial"/>
          <w:sz w:val="24"/>
          <w:szCs w:val="24"/>
        </w:rPr>
        <w:t xml:space="preserve">CONSIDERANDO </w:t>
      </w:r>
      <w:r w:rsidRPr="00581EF8">
        <w:rPr>
          <w:rFonts w:ascii="Arial" w:hAnsi="Arial" w:cs="Arial"/>
          <w:sz w:val="24"/>
          <w:szCs w:val="24"/>
        </w:rPr>
        <w:t>a</w:t>
      </w:r>
      <w:r w:rsidRPr="00581EF8">
        <w:rPr>
          <w:rFonts w:ascii="Arial" w:hAnsi="Arial" w:cs="Arial"/>
          <w:bCs/>
          <w:sz w:val="24"/>
          <w:szCs w:val="24"/>
          <w:lang w:val="pt-PT"/>
        </w:rPr>
        <w:t xml:space="preserve"> ne</w:t>
      </w:r>
      <w:r w:rsidRPr="00581EF8">
        <w:rPr>
          <w:rFonts w:ascii="Arial" w:hAnsi="Arial" w:cs="Arial"/>
          <w:sz w:val="24"/>
          <w:szCs w:val="24"/>
          <w:lang w:val="pt-PT"/>
        </w:rPr>
        <w:t>cessidade de organizar os eventos que farão parte da programação dos festejos alusivos ao 33º aniversário do município de Timbó Grande, que transcorrerá em 26 de abril de 2022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, envolvendo toda a sociedade, através de seus segmentos; </w:t>
      </w:r>
    </w:p>
    <w:p w:rsidR="00581EF8" w:rsidRPr="00581EF8" w:rsidRDefault="00581EF8" w:rsidP="00581EF8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  <w:lang w:val="pt-PT"/>
        </w:rPr>
      </w:pPr>
    </w:p>
    <w:p w:rsidR="00581EF8" w:rsidRPr="00581EF8" w:rsidRDefault="00581EF8" w:rsidP="00581EF8">
      <w:pPr>
        <w:spacing w:before="120" w:after="120" w:line="240" w:lineRule="auto"/>
        <w:ind w:firstLine="1418"/>
        <w:rPr>
          <w:rFonts w:ascii="Arial" w:hAnsi="Arial" w:cs="Arial"/>
          <w:b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t>CONSIDERANDO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 também, q</w:t>
      </w:r>
      <w:r w:rsidRPr="00581EF8">
        <w:rPr>
          <w:rFonts w:ascii="Arial" w:hAnsi="Arial" w:cs="Arial"/>
          <w:sz w:val="24"/>
          <w:szCs w:val="24"/>
          <w:lang w:val="pt-PT"/>
        </w:rPr>
        <w:t>ue o envolvimento da sociedade organizada, elencando seus eventos, pode trazer economia aos cofres públicos, e, por outro lado, realizar even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tos com qualidade; </w:t>
      </w: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581EF8" w:rsidRPr="00581EF8" w:rsidRDefault="00581EF8" w:rsidP="00581EF8">
      <w:pPr>
        <w:tabs>
          <w:tab w:val="left" w:pos="8080"/>
        </w:tabs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O PREFEITO DO MUNICÍPIO DE TIMBÓ GRANDE</w:t>
      </w:r>
      <w:r w:rsidRPr="00581EF8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581EF8" w:rsidRPr="00581EF8" w:rsidRDefault="00581EF8" w:rsidP="00581EF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1EF8" w:rsidRPr="00581EF8" w:rsidRDefault="00581EF8" w:rsidP="00581EF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1EF8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581EF8" w:rsidRPr="00581EF8" w:rsidRDefault="00581EF8" w:rsidP="00581EF8">
      <w:pPr>
        <w:spacing w:before="120" w:after="120" w:line="240" w:lineRule="auto"/>
        <w:ind w:firstLine="1418"/>
        <w:rPr>
          <w:rFonts w:ascii="Arial" w:hAnsi="Arial" w:cs="Arial"/>
          <w:bCs/>
          <w:sz w:val="24"/>
          <w:szCs w:val="24"/>
        </w:rPr>
      </w:pPr>
    </w:p>
    <w:p w:rsidR="00581EF8" w:rsidRPr="00581EF8" w:rsidRDefault="00581EF8" w:rsidP="00581EF8">
      <w:pPr>
        <w:spacing w:before="120" w:after="120" w:line="240" w:lineRule="auto"/>
        <w:ind w:firstLine="1701"/>
        <w:rPr>
          <w:rFonts w:ascii="Arial" w:hAnsi="Arial" w:cs="Arial"/>
          <w:b/>
          <w:sz w:val="24"/>
          <w:szCs w:val="24"/>
        </w:rPr>
      </w:pPr>
      <w:r w:rsidRPr="00581EF8">
        <w:rPr>
          <w:rFonts w:ascii="Arial" w:hAnsi="Arial" w:cs="Arial"/>
          <w:sz w:val="24"/>
          <w:szCs w:val="24"/>
          <w:lang w:val="pt-PT"/>
        </w:rPr>
        <w:t>Art. 1º</w:t>
      </w:r>
      <w:r w:rsidRPr="00581EF8">
        <w:rPr>
          <w:rFonts w:ascii="Arial" w:hAnsi="Arial" w:cs="Arial"/>
          <w:sz w:val="24"/>
          <w:szCs w:val="24"/>
          <w:lang w:val="pt-PT"/>
        </w:rPr>
        <w:t>.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 Nomear a </w:t>
      </w:r>
      <w:r w:rsidRPr="00581EF8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COMISSÃO </w:t>
      </w:r>
      <w:r w:rsidRPr="00581EF8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CENTRAL DE </w:t>
      </w:r>
      <w:r w:rsidRPr="00581EF8">
        <w:rPr>
          <w:rFonts w:ascii="Arial" w:hAnsi="Arial" w:cs="Arial"/>
          <w:b/>
          <w:sz w:val="24"/>
          <w:szCs w:val="24"/>
          <w:u w:val="single"/>
          <w:lang w:val="pt-PT"/>
        </w:rPr>
        <w:t>ORGANIZAÇÃO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 </w:t>
      </w:r>
      <w:r w:rsidRPr="00581EF8">
        <w:rPr>
          <w:rFonts w:ascii="Arial" w:hAnsi="Arial" w:cs="Arial"/>
          <w:sz w:val="24"/>
          <w:szCs w:val="24"/>
          <w:lang w:val="pt-PT"/>
        </w:rPr>
        <w:t>–</w:t>
      </w:r>
      <w:r w:rsidRPr="00581EF8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CCO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, </w:t>
      </w:r>
      <w:r w:rsidRPr="00581EF8">
        <w:rPr>
          <w:rFonts w:ascii="Arial" w:hAnsi="Arial" w:cs="Arial"/>
          <w:sz w:val="24"/>
          <w:szCs w:val="24"/>
          <w:lang w:val="pt-PT"/>
        </w:rPr>
        <w:t>DOS FESTEJOS DO DIA DO MUNICÍPIO DE TIMBÓ GRANDE, Estado de Santa Catarina, a qual terá as atribuições de organizar e propor à Administração Municipal o Programa de Festividades para a Comemoração da data de Emancipação do Município que transcorre no dia 26 de Abril, ficando responsável pela definição das datas dos eventos, assinar contratos e outros documentos, gestão das verbas direcionadas aos festejos e prestação de contas desta gestão, composta pelos seguintes membros: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b/>
          <w:sz w:val="24"/>
          <w:szCs w:val="24"/>
          <w:lang w:val="pt-PT"/>
        </w:rPr>
      </w:pP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t xml:space="preserve">Presidente </w:t>
      </w:r>
      <w:r w:rsidRPr="00581EF8">
        <w:rPr>
          <w:rFonts w:ascii="Arial" w:hAnsi="Arial" w:cs="Arial"/>
          <w:sz w:val="24"/>
          <w:szCs w:val="24"/>
          <w:lang w:val="pt-PT"/>
        </w:rPr>
        <w:t>–  Luiz Carlos Ribeiro Alves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t>Vice-presidente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 – Adilson Wendt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t>Secretário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 –  Daniel Hoffmann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Tesoureiro 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– </w:t>
      </w:r>
      <w:r w:rsidRPr="00581EF8">
        <w:rPr>
          <w:rFonts w:ascii="Arial" w:hAnsi="Arial" w:cs="Arial"/>
          <w:sz w:val="24"/>
          <w:szCs w:val="24"/>
        </w:rPr>
        <w:t>Denise Hoffmann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t xml:space="preserve">Membro 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–  Edson Luiz Batista 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  <w:lang w:val="pt-PT"/>
        </w:rPr>
      </w:pPr>
      <w:r w:rsidRPr="00581EF8">
        <w:rPr>
          <w:rFonts w:ascii="Arial" w:hAnsi="Arial" w:cs="Arial"/>
          <w:b/>
          <w:sz w:val="24"/>
          <w:szCs w:val="24"/>
          <w:lang w:val="pt-PT"/>
        </w:rPr>
        <w:t xml:space="preserve">Membro </w:t>
      </w:r>
      <w:r w:rsidRPr="00581EF8">
        <w:rPr>
          <w:rFonts w:ascii="Arial" w:hAnsi="Arial" w:cs="Arial"/>
          <w:sz w:val="24"/>
          <w:szCs w:val="24"/>
          <w:lang w:val="pt-PT"/>
        </w:rPr>
        <w:t xml:space="preserve">–  Ivair Fernandes 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Membro</w:t>
      </w:r>
      <w:r w:rsidRPr="00581EF8">
        <w:rPr>
          <w:rFonts w:ascii="Arial" w:hAnsi="Arial" w:cs="Arial"/>
          <w:sz w:val="24"/>
          <w:szCs w:val="24"/>
        </w:rPr>
        <w:t xml:space="preserve"> – Jussara Souza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Membro</w:t>
      </w:r>
      <w:r w:rsidRPr="00581EF8">
        <w:rPr>
          <w:rFonts w:ascii="Arial" w:hAnsi="Arial" w:cs="Arial"/>
          <w:sz w:val="24"/>
          <w:szCs w:val="24"/>
        </w:rPr>
        <w:t xml:space="preserve"> – Adriano </w:t>
      </w:r>
      <w:proofErr w:type="spellStart"/>
      <w:r w:rsidRPr="00581EF8">
        <w:rPr>
          <w:rFonts w:ascii="Arial" w:hAnsi="Arial" w:cs="Arial"/>
          <w:sz w:val="24"/>
          <w:szCs w:val="24"/>
          <w:shd w:val="clear" w:color="auto" w:fill="FFFFFF"/>
        </w:rPr>
        <w:t>Mickler</w:t>
      </w:r>
      <w:proofErr w:type="spellEnd"/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Membro</w:t>
      </w:r>
      <w:r w:rsidRPr="00581EF8">
        <w:rPr>
          <w:rFonts w:ascii="Arial" w:hAnsi="Arial" w:cs="Arial"/>
          <w:sz w:val="24"/>
          <w:szCs w:val="24"/>
        </w:rPr>
        <w:t xml:space="preserve"> – Ana Claudia Farias 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 xml:space="preserve">Membro </w:t>
      </w:r>
      <w:r w:rsidRPr="00581EF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81EF8">
        <w:rPr>
          <w:rFonts w:ascii="Arial" w:hAnsi="Arial" w:cs="Arial"/>
          <w:sz w:val="24"/>
          <w:szCs w:val="24"/>
        </w:rPr>
        <w:t>Edny</w:t>
      </w:r>
      <w:proofErr w:type="spellEnd"/>
      <w:r w:rsidRPr="00581EF8">
        <w:rPr>
          <w:rFonts w:ascii="Arial" w:hAnsi="Arial" w:cs="Arial"/>
          <w:sz w:val="24"/>
          <w:szCs w:val="24"/>
        </w:rPr>
        <w:t xml:space="preserve"> Souza</w:t>
      </w:r>
    </w:p>
    <w:p w:rsidR="00581EF8" w:rsidRPr="00581EF8" w:rsidRDefault="00581EF8" w:rsidP="00581EF8">
      <w:pPr>
        <w:spacing w:before="120" w:after="120" w:line="240" w:lineRule="auto"/>
        <w:ind w:left="1418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Membro</w:t>
      </w:r>
      <w:r w:rsidRPr="00581EF8">
        <w:rPr>
          <w:rFonts w:ascii="Arial" w:hAnsi="Arial" w:cs="Arial"/>
          <w:sz w:val="24"/>
          <w:szCs w:val="24"/>
        </w:rPr>
        <w:t xml:space="preserve"> – Jose Claudionor Matoso </w:t>
      </w:r>
    </w:p>
    <w:p w:rsidR="00581EF8" w:rsidRPr="00581EF8" w:rsidRDefault="00581EF8" w:rsidP="00581EF8">
      <w:pPr>
        <w:spacing w:before="120" w:after="120" w:line="240" w:lineRule="auto"/>
        <w:ind w:firstLine="2127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Membro</w:t>
      </w:r>
      <w:r w:rsidRPr="00581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1EF8">
        <w:rPr>
          <w:rFonts w:ascii="Arial" w:hAnsi="Arial" w:cs="Arial"/>
          <w:sz w:val="24"/>
          <w:szCs w:val="24"/>
        </w:rPr>
        <w:t>–  Fabiana</w:t>
      </w:r>
      <w:proofErr w:type="gramEnd"/>
      <w:r w:rsidRPr="00581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F8">
        <w:rPr>
          <w:rFonts w:ascii="Arial" w:hAnsi="Arial" w:cs="Arial"/>
          <w:sz w:val="24"/>
          <w:szCs w:val="24"/>
        </w:rPr>
        <w:t>Stefani</w:t>
      </w:r>
      <w:proofErr w:type="spellEnd"/>
      <w:r w:rsidRPr="00581EF8">
        <w:rPr>
          <w:rFonts w:ascii="Arial" w:hAnsi="Arial" w:cs="Arial"/>
          <w:sz w:val="24"/>
          <w:szCs w:val="24"/>
        </w:rPr>
        <w:t xml:space="preserve"> Xavier</w:t>
      </w:r>
    </w:p>
    <w:p w:rsidR="00581EF8" w:rsidRPr="00581EF8" w:rsidRDefault="00581EF8" w:rsidP="00581EF8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sz w:val="24"/>
          <w:szCs w:val="24"/>
        </w:rPr>
        <w:t xml:space="preserve">Art. </w:t>
      </w:r>
      <w:r w:rsidRPr="00581EF8">
        <w:rPr>
          <w:rFonts w:ascii="Arial" w:hAnsi="Arial" w:cs="Arial"/>
          <w:sz w:val="24"/>
          <w:szCs w:val="24"/>
        </w:rPr>
        <w:t>2</w:t>
      </w:r>
      <w:r w:rsidRPr="00581EF8">
        <w:rPr>
          <w:rFonts w:ascii="Arial" w:hAnsi="Arial" w:cs="Arial"/>
          <w:sz w:val="24"/>
          <w:szCs w:val="24"/>
        </w:rPr>
        <w:t xml:space="preserve">º. Este Decreto entra em vigor na data da sua publicação, revogadas as disposições em contrário.   </w:t>
      </w:r>
    </w:p>
    <w:p w:rsidR="00581EF8" w:rsidRPr="00581EF8" w:rsidRDefault="00581EF8" w:rsidP="00581EF8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ind w:firstLine="1701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sz w:val="24"/>
          <w:szCs w:val="24"/>
        </w:rPr>
        <w:t>Timbó Grande, 2</w:t>
      </w:r>
      <w:r w:rsidRPr="00581EF8">
        <w:rPr>
          <w:rFonts w:ascii="Arial" w:hAnsi="Arial" w:cs="Arial"/>
          <w:sz w:val="24"/>
          <w:szCs w:val="24"/>
        </w:rPr>
        <w:t>2</w:t>
      </w:r>
      <w:r w:rsidRPr="00581EF8">
        <w:rPr>
          <w:rFonts w:ascii="Arial" w:hAnsi="Arial" w:cs="Arial"/>
          <w:sz w:val="24"/>
          <w:szCs w:val="24"/>
        </w:rPr>
        <w:t xml:space="preserve"> de março de 2022</w:t>
      </w:r>
    </w:p>
    <w:p w:rsidR="00581EF8" w:rsidRPr="00581EF8" w:rsidRDefault="00581EF8" w:rsidP="00581EF8">
      <w:pPr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VALDIR CARDOSO DOS SANTOS</w:t>
      </w:r>
    </w:p>
    <w:p w:rsidR="00581EF8" w:rsidRPr="00581EF8" w:rsidRDefault="00581EF8" w:rsidP="00581E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1EF8">
        <w:rPr>
          <w:rFonts w:ascii="Arial" w:hAnsi="Arial" w:cs="Arial"/>
          <w:b/>
          <w:sz w:val="24"/>
          <w:szCs w:val="24"/>
        </w:rPr>
        <w:t>Prefeito Municipal</w:t>
      </w: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p w:rsidR="00581EF8" w:rsidRPr="00581EF8" w:rsidRDefault="00581EF8" w:rsidP="00581EF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113" w:rsidRPr="00581EF8" w:rsidRDefault="00F96113" w:rsidP="00581EF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6113" w:rsidRPr="00581EF8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581EF8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7442B07" wp14:editId="6D339E8E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581EF8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581EF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42B07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581EF8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581EF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56A6D1" wp14:editId="474A9C3B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581EF8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B740635" wp14:editId="6D1EF259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F8"/>
    <w:rsid w:val="00581EF8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F584-9889-490D-86E2-DBD1FDA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E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81EF8"/>
  </w:style>
  <w:style w:type="paragraph" w:styleId="Rodap">
    <w:name w:val="footer"/>
    <w:basedOn w:val="Normal"/>
    <w:link w:val="RodapChar"/>
    <w:uiPriority w:val="99"/>
    <w:unhideWhenUsed/>
    <w:rsid w:val="00581E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81EF8"/>
  </w:style>
  <w:style w:type="table" w:styleId="Tabelacomgrade">
    <w:name w:val="Table Grid"/>
    <w:basedOn w:val="Tabelanormal"/>
    <w:uiPriority w:val="39"/>
    <w:rsid w:val="0058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58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2022-03-22T20:57:00Z</dcterms:created>
  <dcterms:modified xsi:type="dcterms:W3CDTF">2022-03-22T21:07:00Z</dcterms:modified>
</cp:coreProperties>
</file>