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C10F67" w:rsidRDefault="00F97E89" w:rsidP="0022154E">
      <w:pPr>
        <w:spacing w:before="120" w:after="120" w:line="240" w:lineRule="auto"/>
        <w:jc w:val="center"/>
        <w:rPr>
          <w:rFonts w:cstheme="minorHAnsi"/>
          <w:caps/>
          <w:sz w:val="24"/>
          <w:szCs w:val="24"/>
          <w:lang w:val="pt-PT"/>
        </w:rPr>
      </w:pPr>
      <w:r w:rsidRPr="00C10F67">
        <w:rPr>
          <w:rFonts w:cstheme="minorHAnsi"/>
          <w:caps/>
          <w:sz w:val="24"/>
          <w:szCs w:val="24"/>
          <w:lang w:val="pt-PT"/>
        </w:rPr>
        <w:t xml:space="preserve">Decreto nº </w:t>
      </w:r>
      <w:r w:rsidR="00FD70CE" w:rsidRPr="00C10F67">
        <w:rPr>
          <w:rFonts w:cstheme="minorHAnsi"/>
          <w:caps/>
          <w:sz w:val="24"/>
          <w:szCs w:val="24"/>
          <w:lang w:val="pt-PT"/>
        </w:rPr>
        <w:t>18</w:t>
      </w:r>
      <w:r w:rsidR="00973982">
        <w:rPr>
          <w:rFonts w:cstheme="minorHAnsi"/>
          <w:caps/>
          <w:sz w:val="24"/>
          <w:szCs w:val="24"/>
          <w:lang w:val="pt-PT"/>
        </w:rPr>
        <w:t>8</w:t>
      </w:r>
      <w:r w:rsidRPr="00C10F67">
        <w:rPr>
          <w:rFonts w:cstheme="minorHAnsi"/>
          <w:caps/>
          <w:sz w:val="24"/>
          <w:szCs w:val="24"/>
          <w:lang w:val="pt-PT"/>
        </w:rPr>
        <w:t xml:space="preserve">, de </w:t>
      </w:r>
      <w:r w:rsidR="00973982">
        <w:rPr>
          <w:rFonts w:cstheme="minorHAnsi"/>
          <w:caps/>
          <w:sz w:val="24"/>
          <w:szCs w:val="24"/>
          <w:lang w:val="pt-PT"/>
        </w:rPr>
        <w:t>26</w:t>
      </w:r>
      <w:r w:rsidR="00FD70CE" w:rsidRPr="00C10F67">
        <w:rPr>
          <w:rFonts w:cstheme="minorHAnsi"/>
          <w:caps/>
          <w:sz w:val="24"/>
          <w:szCs w:val="24"/>
          <w:lang w:val="pt-PT"/>
        </w:rPr>
        <w:t xml:space="preserve"> DE FEVEREIRO DE 2020</w:t>
      </w:r>
      <w:r w:rsidRPr="00C10F67">
        <w:rPr>
          <w:rFonts w:cstheme="minorHAnsi"/>
          <w:caps/>
          <w:sz w:val="24"/>
          <w:szCs w:val="24"/>
          <w:lang w:val="pt-PT"/>
        </w:rPr>
        <w:t>.</w:t>
      </w:r>
    </w:p>
    <w:p w:rsidR="00F97E89" w:rsidRPr="00C10F67" w:rsidRDefault="00F97E89" w:rsidP="00F422E4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pt-PT"/>
        </w:rPr>
      </w:pPr>
    </w:p>
    <w:p w:rsidR="00F97E89" w:rsidRPr="00C10F67" w:rsidRDefault="00973982" w:rsidP="00973982">
      <w:pPr>
        <w:ind w:left="4253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</w:rPr>
        <w:t>Dispõe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sobre o deferimento da legitimação fundiária e da Certificação de Regularização Fundiária – CRF do Município de Timbó Grande, através da Lei 13.645/2917 e Decreto 9.310/2018 e dá outras providências.</w:t>
      </w:r>
      <w:r w:rsidRPr="00C10F67">
        <w:rPr>
          <w:rFonts w:cstheme="minorHAnsi"/>
          <w:sz w:val="24"/>
          <w:szCs w:val="24"/>
          <w:lang w:val="pt-PT"/>
        </w:rPr>
        <w:t xml:space="preserve"> </w:t>
      </w:r>
    </w:p>
    <w:p w:rsidR="00973982" w:rsidRDefault="00973982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F422E4" w:rsidRPr="00C10F67" w:rsidRDefault="00F422E4" w:rsidP="0022154E">
      <w:pPr>
        <w:spacing w:before="120" w:after="120" w:line="240" w:lineRule="auto"/>
        <w:ind w:firstLine="1418"/>
        <w:jc w:val="both"/>
        <w:rPr>
          <w:rFonts w:cstheme="minorHAnsi"/>
          <w:b/>
          <w:sz w:val="24"/>
          <w:szCs w:val="24"/>
        </w:rPr>
      </w:pPr>
      <w:r w:rsidRPr="00C10F67">
        <w:rPr>
          <w:rFonts w:cstheme="minorHAnsi"/>
          <w:sz w:val="24"/>
          <w:szCs w:val="24"/>
        </w:rPr>
        <w:t xml:space="preserve">O </w:t>
      </w:r>
      <w:r w:rsidR="0022154E" w:rsidRPr="00C10F67">
        <w:rPr>
          <w:rFonts w:cstheme="minorHAnsi"/>
          <w:sz w:val="24"/>
          <w:szCs w:val="24"/>
        </w:rPr>
        <w:t xml:space="preserve">Prefeito Municipal de Timbó Grande, Estado de Santa Catarina, </w:t>
      </w:r>
      <w:r w:rsidRPr="00C10F67">
        <w:rPr>
          <w:rFonts w:cstheme="minorHAnsi"/>
          <w:sz w:val="24"/>
          <w:szCs w:val="24"/>
        </w:rPr>
        <w:t xml:space="preserve">no uso de suas atribuições legais, </w:t>
      </w:r>
      <w:r w:rsidRPr="00C10F67">
        <w:rPr>
          <w:rFonts w:eastAsia="Times New Roman" w:cstheme="minorHAnsi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C10F67" w:rsidRDefault="00F422E4" w:rsidP="00D77488">
      <w:pPr>
        <w:spacing w:before="120" w:after="120" w:line="240" w:lineRule="auto"/>
        <w:ind w:firstLine="851"/>
        <w:jc w:val="both"/>
        <w:rPr>
          <w:rFonts w:cstheme="minorHAnsi"/>
          <w:b/>
          <w:sz w:val="24"/>
          <w:szCs w:val="24"/>
        </w:rPr>
      </w:pPr>
    </w:p>
    <w:p w:rsidR="0025343D" w:rsidRDefault="00C01721" w:rsidP="0025343D">
      <w:pPr>
        <w:spacing w:before="120" w:after="120"/>
        <w:ind w:firstLine="1418"/>
        <w:jc w:val="both"/>
        <w:rPr>
          <w:rFonts w:cstheme="minorHAnsi"/>
          <w:b/>
          <w:sz w:val="24"/>
          <w:szCs w:val="24"/>
        </w:rPr>
      </w:pPr>
      <w:r w:rsidRPr="0025343D">
        <w:rPr>
          <w:rStyle w:val="Forte"/>
          <w:rFonts w:cstheme="minorHAnsi"/>
          <w:b w:val="0"/>
          <w:sz w:val="24"/>
          <w:szCs w:val="24"/>
        </w:rPr>
        <w:t>CONSIDERANDO:</w:t>
      </w:r>
    </w:p>
    <w:p w:rsidR="006E3F51" w:rsidRPr="006E3F51" w:rsidRDefault="006E3F51" w:rsidP="006E3F51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6E3F51">
        <w:rPr>
          <w:rFonts w:cstheme="minorHAnsi"/>
          <w:sz w:val="24"/>
          <w:szCs w:val="24"/>
        </w:rPr>
        <w:t>Considerando a autonomia municipal como ente federado, respaldada na lei nº 13.465/2017, que confere</w:t>
      </w:r>
      <w:r>
        <w:rPr>
          <w:rFonts w:cstheme="minorHAnsi"/>
          <w:sz w:val="24"/>
          <w:szCs w:val="24"/>
        </w:rPr>
        <w:t xml:space="preserve"> </w:t>
      </w:r>
      <w:r w:rsidRPr="006E3F51">
        <w:rPr>
          <w:rFonts w:cstheme="minorHAnsi"/>
          <w:sz w:val="24"/>
          <w:szCs w:val="24"/>
        </w:rPr>
        <w:t xml:space="preserve">institucionalidade dos projetos de regularização fundiária de interesse social e especifico </w:t>
      </w:r>
      <w:proofErr w:type="spellStart"/>
      <w:r w:rsidRPr="006E3F51">
        <w:rPr>
          <w:rFonts w:cstheme="minorHAnsi"/>
          <w:sz w:val="24"/>
          <w:szCs w:val="24"/>
        </w:rPr>
        <w:t>Reurb</w:t>
      </w:r>
      <w:proofErr w:type="spellEnd"/>
      <w:r w:rsidRPr="006E3F51">
        <w:rPr>
          <w:rFonts w:cstheme="minorHAnsi"/>
          <w:sz w:val="24"/>
          <w:szCs w:val="24"/>
        </w:rPr>
        <w:t xml:space="preserve">-S e </w:t>
      </w:r>
      <w:proofErr w:type="spellStart"/>
      <w:r w:rsidRPr="006E3F51">
        <w:rPr>
          <w:rFonts w:cstheme="minorHAnsi"/>
          <w:sz w:val="24"/>
          <w:szCs w:val="24"/>
        </w:rPr>
        <w:t>Reurb</w:t>
      </w:r>
      <w:proofErr w:type="spellEnd"/>
      <w:r w:rsidRPr="006E3F51">
        <w:rPr>
          <w:rFonts w:cstheme="minorHAnsi"/>
          <w:sz w:val="24"/>
          <w:szCs w:val="24"/>
        </w:rPr>
        <w:t>-E.</w:t>
      </w:r>
    </w:p>
    <w:p w:rsidR="006E3F51" w:rsidRPr="006E3F51" w:rsidRDefault="006E3F51" w:rsidP="006E3F51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6E3F51">
        <w:rPr>
          <w:rFonts w:cstheme="minorHAnsi"/>
          <w:sz w:val="24"/>
          <w:szCs w:val="24"/>
        </w:rPr>
        <w:t xml:space="preserve">Compete à </w:t>
      </w:r>
      <w:r>
        <w:rPr>
          <w:rFonts w:cstheme="minorHAnsi"/>
          <w:sz w:val="24"/>
          <w:szCs w:val="24"/>
        </w:rPr>
        <w:t>S</w:t>
      </w:r>
      <w:r w:rsidRPr="006E3F51">
        <w:rPr>
          <w:rFonts w:cstheme="minorHAnsi"/>
          <w:sz w:val="24"/>
          <w:szCs w:val="24"/>
        </w:rPr>
        <w:t xml:space="preserve">ecretaria de </w:t>
      </w:r>
      <w:r>
        <w:rPr>
          <w:rFonts w:cstheme="minorHAnsi"/>
          <w:sz w:val="24"/>
          <w:szCs w:val="24"/>
        </w:rPr>
        <w:t>A</w:t>
      </w:r>
      <w:r w:rsidRPr="006E3F51">
        <w:rPr>
          <w:rFonts w:cstheme="minorHAnsi"/>
          <w:sz w:val="24"/>
          <w:szCs w:val="24"/>
        </w:rPr>
        <w:t xml:space="preserve">ssistência Social, processar, avaliar, decidir e certificar o enquadramento dos </w:t>
      </w:r>
      <w:proofErr w:type="spellStart"/>
      <w:r w:rsidRPr="006E3F51">
        <w:rPr>
          <w:rFonts w:cstheme="minorHAnsi"/>
          <w:sz w:val="24"/>
          <w:szCs w:val="24"/>
        </w:rPr>
        <w:t>Reurb</w:t>
      </w:r>
      <w:proofErr w:type="spellEnd"/>
      <w:r w:rsidRPr="006E3F5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6E3F51">
        <w:rPr>
          <w:rFonts w:cstheme="minorHAnsi"/>
          <w:sz w:val="24"/>
          <w:szCs w:val="24"/>
        </w:rPr>
        <w:t>através do CAD ÚNICO, declarações de renda, Certidões de propriedade, ou</w:t>
      </w:r>
      <w:r>
        <w:rPr>
          <w:rFonts w:cstheme="minorHAnsi"/>
          <w:sz w:val="24"/>
          <w:szCs w:val="24"/>
        </w:rPr>
        <w:t xml:space="preserve"> outro formato que a secretaria </w:t>
      </w:r>
      <w:r w:rsidRPr="006E3F51">
        <w:rPr>
          <w:rFonts w:cstheme="minorHAnsi"/>
          <w:sz w:val="24"/>
          <w:szCs w:val="24"/>
        </w:rPr>
        <w:t>achar conveniente adotar, afim de contribuir na classificação e enquadramento do núcleo em uma das</w:t>
      </w:r>
      <w:r>
        <w:rPr>
          <w:rFonts w:cstheme="minorHAnsi"/>
          <w:sz w:val="24"/>
          <w:szCs w:val="24"/>
        </w:rPr>
        <w:t xml:space="preserve"> </w:t>
      </w:r>
      <w:r w:rsidRPr="006E3F51">
        <w:rPr>
          <w:rFonts w:cstheme="minorHAnsi"/>
          <w:sz w:val="24"/>
          <w:szCs w:val="24"/>
        </w:rPr>
        <w:t>modalidades da regularização fundiária.</w:t>
      </w:r>
    </w:p>
    <w:p w:rsidR="006E3F51" w:rsidRPr="006E3F51" w:rsidRDefault="006E3F51" w:rsidP="006E3F51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6E3F51">
        <w:rPr>
          <w:rFonts w:cstheme="minorHAnsi"/>
          <w:sz w:val="24"/>
          <w:szCs w:val="24"/>
        </w:rPr>
        <w:t>São considerados de baixa renda, para fins de regularização fundiária de inter</w:t>
      </w:r>
      <w:r>
        <w:rPr>
          <w:rFonts w:cstheme="minorHAnsi"/>
          <w:sz w:val="24"/>
          <w:szCs w:val="24"/>
        </w:rPr>
        <w:t xml:space="preserve">esse social, aqueles cuja renda </w:t>
      </w:r>
      <w:r w:rsidRPr="006E3F51">
        <w:rPr>
          <w:rFonts w:cstheme="minorHAnsi"/>
          <w:sz w:val="24"/>
          <w:szCs w:val="24"/>
        </w:rPr>
        <w:t>mensal familiar não ultrapasse 05(cinco) salários mínimos mensais vigentes no pais, aqueles inscritos no CAD</w:t>
      </w:r>
      <w:r>
        <w:rPr>
          <w:rFonts w:cstheme="minorHAnsi"/>
          <w:sz w:val="24"/>
          <w:szCs w:val="24"/>
        </w:rPr>
        <w:t xml:space="preserve"> </w:t>
      </w:r>
      <w:r w:rsidRPr="006E3F51">
        <w:rPr>
          <w:rFonts w:cstheme="minorHAnsi"/>
          <w:sz w:val="24"/>
          <w:szCs w:val="24"/>
        </w:rPr>
        <w:t>ÚNICO e aqueles que não possua propriedades no nome.</w:t>
      </w:r>
    </w:p>
    <w:p w:rsidR="006E3F51" w:rsidRPr="006E3F51" w:rsidRDefault="006E3F51" w:rsidP="006E3F51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6E3F51">
        <w:rPr>
          <w:rFonts w:cstheme="minorHAnsi"/>
          <w:sz w:val="24"/>
          <w:szCs w:val="24"/>
        </w:rPr>
        <w:t>O loteamento encontra-se apto para fins de regularização fundiária e consequentemente para emissão das</w:t>
      </w:r>
      <w:r>
        <w:rPr>
          <w:rFonts w:cstheme="minorHAnsi"/>
          <w:sz w:val="24"/>
          <w:szCs w:val="24"/>
        </w:rPr>
        <w:t xml:space="preserve"> </w:t>
      </w:r>
      <w:r w:rsidRPr="006E3F51">
        <w:rPr>
          <w:rFonts w:cstheme="minorHAnsi"/>
          <w:sz w:val="24"/>
          <w:szCs w:val="24"/>
        </w:rPr>
        <w:t>matrículas individualizadas para cada morador, na modalidade de REURB-S, sendo este Lotea</w:t>
      </w:r>
      <w:r>
        <w:rPr>
          <w:rFonts w:cstheme="minorHAnsi"/>
          <w:sz w:val="24"/>
          <w:szCs w:val="24"/>
        </w:rPr>
        <w:t xml:space="preserve">mento de </w:t>
      </w:r>
      <w:r w:rsidRPr="006E3F51">
        <w:rPr>
          <w:rFonts w:cstheme="minorHAnsi"/>
          <w:sz w:val="24"/>
          <w:szCs w:val="24"/>
        </w:rPr>
        <w:t>Interesse Social e predominantemente de Baixa Renda.</w:t>
      </w:r>
    </w:p>
    <w:p w:rsidR="0025343D" w:rsidRDefault="006E3F51" w:rsidP="006E3F51">
      <w:pPr>
        <w:spacing w:before="120" w:after="120"/>
        <w:ind w:firstLine="1418"/>
        <w:jc w:val="both"/>
        <w:rPr>
          <w:rFonts w:cstheme="minorHAnsi"/>
          <w:b/>
          <w:sz w:val="24"/>
          <w:szCs w:val="24"/>
        </w:rPr>
      </w:pPr>
      <w:r w:rsidRPr="006E3F51">
        <w:rPr>
          <w:rFonts w:cstheme="minorHAnsi"/>
          <w:sz w:val="24"/>
          <w:szCs w:val="24"/>
        </w:rPr>
        <w:t>Em anexo segue a Certidão de Regularização Fundiária (CRF) emitida por esta municipalidade.</w:t>
      </w:r>
    </w:p>
    <w:p w:rsidR="006E3F51" w:rsidRDefault="006E3F51" w:rsidP="0025343D">
      <w:pPr>
        <w:spacing w:before="120" w:after="120"/>
        <w:ind w:firstLine="1418"/>
        <w:jc w:val="both"/>
        <w:rPr>
          <w:rFonts w:cstheme="minorHAnsi"/>
          <w:sz w:val="24"/>
          <w:szCs w:val="24"/>
          <w:lang w:val="pt-PT"/>
        </w:rPr>
      </w:pPr>
    </w:p>
    <w:p w:rsidR="0025343D" w:rsidRPr="0025343D" w:rsidRDefault="0025343D" w:rsidP="0025343D">
      <w:pPr>
        <w:spacing w:before="120" w:after="120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25343D">
        <w:rPr>
          <w:rFonts w:cstheme="minorHAnsi"/>
          <w:sz w:val="24"/>
          <w:szCs w:val="24"/>
          <w:lang w:val="pt-PT"/>
        </w:rPr>
        <w:t>RESOLVE:</w:t>
      </w:r>
    </w:p>
    <w:p w:rsidR="00BD40D6" w:rsidRDefault="0025343D" w:rsidP="00BD40D6">
      <w:pPr>
        <w:spacing w:before="120" w:after="120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25343D">
        <w:rPr>
          <w:rFonts w:cstheme="minorHAnsi"/>
          <w:sz w:val="24"/>
          <w:szCs w:val="24"/>
          <w:lang w:val="pt-PT"/>
        </w:rPr>
        <w:t>Art. 1º</w:t>
      </w:r>
      <w:r w:rsidR="001C6491">
        <w:rPr>
          <w:rFonts w:cstheme="minorHAnsi"/>
          <w:sz w:val="24"/>
          <w:szCs w:val="24"/>
          <w:lang w:val="pt-PT"/>
        </w:rPr>
        <w:t xml:space="preserve">  </w:t>
      </w:r>
      <w:r w:rsidR="00BD40D6" w:rsidRPr="00BD40D6">
        <w:rPr>
          <w:rFonts w:cstheme="minorHAnsi"/>
          <w:sz w:val="24"/>
          <w:szCs w:val="24"/>
          <w:lang w:val="pt-PT"/>
        </w:rPr>
        <w:t>Fica decretado o Deferimento da Legitimação Fundiária e da Certificação de Regularização</w:t>
      </w:r>
      <w:r w:rsidR="00BD40D6">
        <w:rPr>
          <w:rFonts w:cstheme="minorHAnsi"/>
          <w:sz w:val="24"/>
          <w:szCs w:val="24"/>
          <w:lang w:val="pt-PT"/>
        </w:rPr>
        <w:t xml:space="preserve"> </w:t>
      </w:r>
      <w:r w:rsidR="00BD40D6" w:rsidRPr="00BD40D6">
        <w:rPr>
          <w:rFonts w:cstheme="minorHAnsi"/>
          <w:sz w:val="24"/>
          <w:szCs w:val="24"/>
          <w:lang w:val="pt-PT"/>
        </w:rPr>
        <w:t>Fundiária — CRF, do Município de Timbó Grande/SC,através da Lei 13.465/2017 e Decreto 9.310/2018,</w:t>
      </w:r>
      <w:r w:rsidR="00BD40D6">
        <w:rPr>
          <w:rFonts w:cstheme="minorHAnsi"/>
          <w:sz w:val="24"/>
          <w:szCs w:val="24"/>
          <w:lang w:val="pt-PT"/>
        </w:rPr>
        <w:t xml:space="preserve"> </w:t>
      </w:r>
      <w:r w:rsidR="00BD40D6" w:rsidRPr="00BD40D6">
        <w:rPr>
          <w:rFonts w:cstheme="minorHAnsi"/>
          <w:sz w:val="24"/>
          <w:szCs w:val="24"/>
          <w:lang w:val="pt-PT"/>
        </w:rPr>
        <w:t>através das Matrículas</w:t>
      </w:r>
      <w:r w:rsidR="00BD40D6">
        <w:rPr>
          <w:rFonts w:cstheme="minorHAnsi"/>
          <w:sz w:val="24"/>
          <w:szCs w:val="24"/>
          <w:lang w:val="pt-PT"/>
        </w:rPr>
        <w:t xml:space="preserve"> </w:t>
      </w:r>
      <w:r w:rsidR="00BD40D6" w:rsidRPr="00BD40D6">
        <w:rPr>
          <w:rFonts w:cstheme="minorHAnsi"/>
          <w:sz w:val="24"/>
          <w:szCs w:val="24"/>
          <w:lang w:val="pt-PT"/>
        </w:rPr>
        <w:t>Imobiliáriasn° 7.990 e 7.946 (Quadra 05 e 05A),devidamente registrada no Cartório</w:t>
      </w:r>
      <w:r w:rsidR="00BD40D6">
        <w:rPr>
          <w:rFonts w:cstheme="minorHAnsi"/>
          <w:sz w:val="24"/>
          <w:szCs w:val="24"/>
          <w:lang w:val="pt-PT"/>
        </w:rPr>
        <w:t xml:space="preserve"> </w:t>
      </w:r>
      <w:r w:rsidR="00BD40D6" w:rsidRPr="00BD40D6">
        <w:rPr>
          <w:rFonts w:cstheme="minorHAnsi"/>
          <w:sz w:val="24"/>
          <w:szCs w:val="24"/>
          <w:lang w:val="pt-PT"/>
        </w:rPr>
        <w:t xml:space="preserve">e Registro de Imóveis da Comarca deSanta Cecilia – SC, </w:t>
      </w:r>
      <w:r w:rsidR="00BD40D6" w:rsidRPr="00BD40D6">
        <w:rPr>
          <w:rFonts w:cstheme="minorHAnsi"/>
          <w:sz w:val="24"/>
          <w:szCs w:val="24"/>
          <w:lang w:val="pt-PT"/>
        </w:rPr>
        <w:lastRenderedPageBreak/>
        <w:t>conforme Ma</w:t>
      </w:r>
      <w:r w:rsidR="00BD40D6">
        <w:rPr>
          <w:rFonts w:cstheme="minorHAnsi"/>
          <w:sz w:val="24"/>
          <w:szCs w:val="24"/>
          <w:lang w:val="pt-PT"/>
        </w:rPr>
        <w:t xml:space="preserve">pa em anexo sendo que as ruas e </w:t>
      </w:r>
      <w:r w:rsidR="00BD40D6" w:rsidRPr="00BD40D6">
        <w:rPr>
          <w:rFonts w:cstheme="minorHAnsi"/>
          <w:sz w:val="24"/>
          <w:szCs w:val="24"/>
          <w:lang w:val="pt-PT"/>
        </w:rPr>
        <w:t>servidões este município receberá em doação para a sua efetiva manutenção.</w:t>
      </w:r>
    </w:p>
    <w:p w:rsidR="0025343D" w:rsidRPr="00BD40D6" w:rsidRDefault="0025343D" w:rsidP="00BD40D6">
      <w:pPr>
        <w:spacing w:before="120" w:after="120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25343D">
        <w:rPr>
          <w:rFonts w:cstheme="minorHAnsi"/>
          <w:sz w:val="24"/>
          <w:szCs w:val="24"/>
        </w:rPr>
        <w:t>Art. 2</w:t>
      </w:r>
      <w:r w:rsidR="001C6491">
        <w:rPr>
          <w:rFonts w:cstheme="minorHAnsi"/>
          <w:sz w:val="24"/>
          <w:szCs w:val="24"/>
        </w:rPr>
        <w:t>º</w:t>
      </w:r>
      <w:r w:rsidR="007B286F" w:rsidRPr="007B286F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</w:t>
      </w:r>
      <w:r w:rsidRPr="0025343D">
        <w:rPr>
          <w:rFonts w:cstheme="minorHAnsi"/>
          <w:sz w:val="24"/>
          <w:szCs w:val="24"/>
        </w:rPr>
        <w:t>Este Decreto entra em vigor na data de sua publicação, revogadas as disposições em contrário.</w:t>
      </w:r>
    </w:p>
    <w:p w:rsidR="00434604" w:rsidRPr="00C10F67" w:rsidRDefault="00434604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Publique-se. Registre-se e cumpra-se.</w:t>
      </w:r>
    </w:p>
    <w:p w:rsidR="00434604" w:rsidRPr="00C10F67" w:rsidRDefault="00434604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Timbó Grande</w:t>
      </w:r>
      <w:r w:rsidR="00D2691F" w:rsidRPr="00C10F67">
        <w:rPr>
          <w:rFonts w:cstheme="minorHAnsi"/>
          <w:sz w:val="24"/>
          <w:szCs w:val="24"/>
        </w:rPr>
        <w:t xml:space="preserve">, </w:t>
      </w:r>
      <w:r w:rsidRPr="00C10F67">
        <w:rPr>
          <w:rFonts w:cstheme="minorHAnsi"/>
          <w:sz w:val="24"/>
          <w:szCs w:val="24"/>
        </w:rPr>
        <w:t xml:space="preserve">SC, </w:t>
      </w:r>
      <w:r w:rsidR="00BD40D6">
        <w:rPr>
          <w:rFonts w:cstheme="minorHAnsi"/>
          <w:sz w:val="24"/>
          <w:szCs w:val="24"/>
        </w:rPr>
        <w:t>26</w:t>
      </w:r>
      <w:r w:rsidR="00D2691F" w:rsidRPr="00C10F67">
        <w:rPr>
          <w:rFonts w:cstheme="minorHAnsi"/>
          <w:sz w:val="24"/>
          <w:szCs w:val="24"/>
        </w:rPr>
        <w:t xml:space="preserve"> de fevereiro de 2020</w:t>
      </w:r>
      <w:r w:rsidRPr="00C10F67">
        <w:rPr>
          <w:rFonts w:cstheme="minorHAnsi"/>
          <w:sz w:val="24"/>
          <w:szCs w:val="24"/>
        </w:rPr>
        <w:t>.</w:t>
      </w:r>
    </w:p>
    <w:p w:rsidR="00D2691F" w:rsidRDefault="00D2691F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25343D" w:rsidRPr="00C10F67" w:rsidRDefault="0025343D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D2691F" w:rsidRPr="00C10F67" w:rsidRDefault="00D2691F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D2691F" w:rsidRPr="00C10F67" w:rsidRDefault="00D2691F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Ari José Galeski</w:t>
      </w:r>
      <w:r w:rsidRPr="00C10F67">
        <w:rPr>
          <w:rFonts w:cstheme="minorHAnsi"/>
          <w:sz w:val="24"/>
          <w:szCs w:val="24"/>
        </w:rPr>
        <w:br/>
        <w:t>Prefeito Municipal</w:t>
      </w:r>
    </w:p>
    <w:p w:rsidR="00434604" w:rsidRPr="0022154E" w:rsidRDefault="00434604" w:rsidP="00506F5A">
      <w:pPr>
        <w:spacing w:before="120" w:after="120"/>
        <w:jc w:val="center"/>
        <w:rPr>
          <w:rFonts w:cstheme="minorHAnsi"/>
          <w:b/>
          <w:noProof/>
          <w:sz w:val="26"/>
          <w:szCs w:val="26"/>
          <w:lang w:eastAsia="pt-BR"/>
        </w:rPr>
      </w:pPr>
    </w:p>
    <w:p w:rsidR="00434604" w:rsidRDefault="00434604" w:rsidP="00C10F67">
      <w:pPr>
        <w:spacing w:before="120" w:after="120"/>
        <w:ind w:right="-2"/>
        <w:jc w:val="center"/>
        <w:rPr>
          <w:rFonts w:cstheme="minorHAnsi"/>
          <w:sz w:val="18"/>
          <w:szCs w:val="18"/>
        </w:rPr>
      </w:pPr>
      <w:r w:rsidRPr="0022154E">
        <w:rPr>
          <w:rFonts w:cstheme="minorHAnsi"/>
          <w:sz w:val="18"/>
          <w:szCs w:val="18"/>
        </w:rPr>
        <w:t xml:space="preserve">Este Decreto foi publicado no Mural da Prefeitura Municipal de Timbó Grande em </w:t>
      </w:r>
      <w:r w:rsidR="00BD40D6">
        <w:rPr>
          <w:rFonts w:cstheme="minorHAnsi"/>
          <w:sz w:val="18"/>
          <w:szCs w:val="18"/>
        </w:rPr>
        <w:t>26</w:t>
      </w:r>
      <w:r w:rsidR="00D2691F">
        <w:rPr>
          <w:rFonts w:cstheme="minorHAnsi"/>
          <w:sz w:val="18"/>
          <w:szCs w:val="18"/>
        </w:rPr>
        <w:t xml:space="preserve"> de fevereiro de 2020</w:t>
      </w:r>
      <w:r w:rsidR="00924EDC" w:rsidRPr="0022154E">
        <w:rPr>
          <w:rFonts w:cstheme="minorHAnsi"/>
          <w:sz w:val="18"/>
          <w:szCs w:val="18"/>
        </w:rPr>
        <w:t>.</w:t>
      </w:r>
      <w:r w:rsidR="00924EDC" w:rsidRPr="0022154E">
        <w:rPr>
          <w:rFonts w:cstheme="minorHAnsi"/>
          <w:sz w:val="18"/>
          <w:szCs w:val="18"/>
        </w:rPr>
        <w:br/>
      </w:r>
    </w:p>
    <w:p w:rsidR="0025343D" w:rsidRPr="0022154E" w:rsidRDefault="0025343D" w:rsidP="00C10F67">
      <w:pPr>
        <w:spacing w:before="120" w:after="120"/>
        <w:ind w:right="-2"/>
        <w:jc w:val="center"/>
        <w:rPr>
          <w:rFonts w:cstheme="minorHAnsi"/>
          <w:sz w:val="18"/>
          <w:szCs w:val="18"/>
        </w:rPr>
      </w:pPr>
    </w:p>
    <w:p w:rsidR="004342C9" w:rsidRDefault="004342C9" w:rsidP="00924EDC">
      <w:pPr>
        <w:spacing w:before="120" w:after="120"/>
        <w:ind w:right="-2" w:firstLine="851"/>
        <w:jc w:val="center"/>
        <w:rPr>
          <w:rFonts w:cstheme="minorHAnsi"/>
          <w:sz w:val="18"/>
          <w:szCs w:val="18"/>
        </w:rPr>
      </w:pPr>
    </w:p>
    <w:p w:rsidR="00434604" w:rsidRPr="0022154E" w:rsidRDefault="00D2691F" w:rsidP="00D2691F">
      <w:pPr>
        <w:spacing w:before="120" w:after="120"/>
        <w:ind w:right="-2"/>
        <w:jc w:val="center"/>
        <w:rPr>
          <w:rFonts w:cstheme="minorHAnsi"/>
          <w:sz w:val="26"/>
          <w:szCs w:val="26"/>
        </w:rPr>
      </w:pPr>
      <w:r w:rsidRPr="00D2691F">
        <w:rPr>
          <w:rFonts w:cstheme="minorHAnsi"/>
          <w:sz w:val="24"/>
          <w:szCs w:val="24"/>
        </w:rPr>
        <w:t>Evandro Carlos de Medeiros</w:t>
      </w:r>
      <w:r w:rsidRPr="00D2691F">
        <w:rPr>
          <w:rFonts w:cstheme="minorHAnsi"/>
          <w:sz w:val="24"/>
          <w:szCs w:val="24"/>
        </w:rPr>
        <w:br/>
        <w:t>Secretário de Administração e Finanças</w:t>
      </w:r>
    </w:p>
    <w:sectPr w:rsidR="00434604" w:rsidRPr="0022154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D1" w:rsidRDefault="000645D1" w:rsidP="00E007F4">
      <w:pPr>
        <w:spacing w:after="0" w:line="240" w:lineRule="auto"/>
      </w:pPr>
      <w:r>
        <w:separator/>
      </w:r>
    </w:p>
  </w:endnote>
  <w:endnote w:type="continuationSeparator" w:id="0">
    <w:p w:rsidR="000645D1" w:rsidRDefault="000645D1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D1" w:rsidRDefault="000645D1" w:rsidP="00E007F4">
      <w:pPr>
        <w:spacing w:after="0" w:line="240" w:lineRule="auto"/>
      </w:pPr>
      <w:r>
        <w:separator/>
      </w:r>
    </w:p>
  </w:footnote>
  <w:footnote w:type="continuationSeparator" w:id="0">
    <w:p w:rsidR="000645D1" w:rsidRDefault="000645D1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27C23" w:rsidRPr="00127C2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27C23" w:rsidRPr="00127C2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1F65E53"/>
    <w:multiLevelType w:val="hybridMultilevel"/>
    <w:tmpl w:val="468E1B6E"/>
    <w:lvl w:ilvl="0" w:tplc="63ECEF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28"/>
  </w:num>
  <w:num w:numId="5">
    <w:abstractNumId w:val="13"/>
  </w:num>
  <w:num w:numId="6">
    <w:abstractNumId w:val="21"/>
  </w:num>
  <w:num w:numId="7">
    <w:abstractNumId w:val="27"/>
  </w:num>
  <w:num w:numId="8">
    <w:abstractNumId w:val="37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22"/>
  </w:num>
  <w:num w:numId="14">
    <w:abstractNumId w:val="36"/>
  </w:num>
  <w:num w:numId="15">
    <w:abstractNumId w:val="16"/>
  </w:num>
  <w:num w:numId="16">
    <w:abstractNumId w:val="34"/>
  </w:num>
  <w:num w:numId="17">
    <w:abstractNumId w:val="3"/>
  </w:num>
  <w:num w:numId="18">
    <w:abstractNumId w:val="38"/>
  </w:num>
  <w:num w:numId="19">
    <w:abstractNumId w:val="39"/>
  </w:num>
  <w:num w:numId="20">
    <w:abstractNumId w:val="29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3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2"/>
  </w:num>
  <w:num w:numId="30">
    <w:abstractNumId w:val="18"/>
  </w:num>
  <w:num w:numId="31">
    <w:abstractNumId w:val="14"/>
  </w:num>
  <w:num w:numId="32">
    <w:abstractNumId w:val="8"/>
  </w:num>
  <w:num w:numId="33">
    <w:abstractNumId w:val="10"/>
  </w:num>
  <w:num w:numId="34">
    <w:abstractNumId w:val="24"/>
  </w:num>
  <w:num w:numId="35">
    <w:abstractNumId w:val="20"/>
  </w:num>
  <w:num w:numId="36">
    <w:abstractNumId w:val="15"/>
  </w:num>
  <w:num w:numId="37">
    <w:abstractNumId w:val="35"/>
  </w:num>
  <w:num w:numId="38">
    <w:abstractNumId w:val="17"/>
  </w:num>
  <w:num w:numId="39">
    <w:abstractNumId w:val="33"/>
  </w:num>
  <w:num w:numId="40">
    <w:abstractNumId w:val="3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45D1"/>
    <w:rsid w:val="0006662B"/>
    <w:rsid w:val="00070DC6"/>
    <w:rsid w:val="00071349"/>
    <w:rsid w:val="000743A3"/>
    <w:rsid w:val="00081567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040"/>
    <w:rsid w:val="00116616"/>
    <w:rsid w:val="0012076F"/>
    <w:rsid w:val="001217B6"/>
    <w:rsid w:val="00127C23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4382"/>
    <w:rsid w:val="001A5676"/>
    <w:rsid w:val="001A6044"/>
    <w:rsid w:val="001B0832"/>
    <w:rsid w:val="001B794B"/>
    <w:rsid w:val="001C04FB"/>
    <w:rsid w:val="001C0537"/>
    <w:rsid w:val="001C6491"/>
    <w:rsid w:val="001D54B1"/>
    <w:rsid w:val="001E243E"/>
    <w:rsid w:val="001E33E3"/>
    <w:rsid w:val="001E42A4"/>
    <w:rsid w:val="001F43BC"/>
    <w:rsid w:val="00207836"/>
    <w:rsid w:val="002135A0"/>
    <w:rsid w:val="00220064"/>
    <w:rsid w:val="0022154E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5343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50BA"/>
    <w:rsid w:val="00436F4F"/>
    <w:rsid w:val="00440BD8"/>
    <w:rsid w:val="00441FAF"/>
    <w:rsid w:val="004452C7"/>
    <w:rsid w:val="00452576"/>
    <w:rsid w:val="00460ECB"/>
    <w:rsid w:val="00464616"/>
    <w:rsid w:val="004657B7"/>
    <w:rsid w:val="00465B56"/>
    <w:rsid w:val="00486021"/>
    <w:rsid w:val="00496210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651BC"/>
    <w:rsid w:val="00570145"/>
    <w:rsid w:val="00570C42"/>
    <w:rsid w:val="00570F97"/>
    <w:rsid w:val="005747B4"/>
    <w:rsid w:val="00582B05"/>
    <w:rsid w:val="005B4707"/>
    <w:rsid w:val="005B4B35"/>
    <w:rsid w:val="005B4E01"/>
    <w:rsid w:val="005B7D84"/>
    <w:rsid w:val="005C4416"/>
    <w:rsid w:val="005C4E3E"/>
    <w:rsid w:val="005D0791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0AA2"/>
    <w:rsid w:val="006E3C3E"/>
    <w:rsid w:val="006E3F51"/>
    <w:rsid w:val="006E558F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286F"/>
    <w:rsid w:val="007B6086"/>
    <w:rsid w:val="007B64CC"/>
    <w:rsid w:val="007C19BB"/>
    <w:rsid w:val="007C32ED"/>
    <w:rsid w:val="007C44F2"/>
    <w:rsid w:val="007C6A88"/>
    <w:rsid w:val="007C6D06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54EA0"/>
    <w:rsid w:val="00860B22"/>
    <w:rsid w:val="0086393B"/>
    <w:rsid w:val="00863BB0"/>
    <w:rsid w:val="0086546A"/>
    <w:rsid w:val="0087253F"/>
    <w:rsid w:val="00873CAA"/>
    <w:rsid w:val="00874738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73982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D40D6"/>
    <w:rsid w:val="00BE1DCF"/>
    <w:rsid w:val="00BE2BEB"/>
    <w:rsid w:val="00BE37CE"/>
    <w:rsid w:val="00BE5CFF"/>
    <w:rsid w:val="00BE7913"/>
    <w:rsid w:val="00BF1D11"/>
    <w:rsid w:val="00C01721"/>
    <w:rsid w:val="00C02E48"/>
    <w:rsid w:val="00C0302C"/>
    <w:rsid w:val="00C10F67"/>
    <w:rsid w:val="00C128DF"/>
    <w:rsid w:val="00C2798E"/>
    <w:rsid w:val="00C31980"/>
    <w:rsid w:val="00C332D1"/>
    <w:rsid w:val="00C449E4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2691F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B6E7B"/>
    <w:rsid w:val="00DC5CB0"/>
    <w:rsid w:val="00DC60DF"/>
    <w:rsid w:val="00DD1D80"/>
    <w:rsid w:val="00DD2797"/>
    <w:rsid w:val="00DD69E6"/>
    <w:rsid w:val="00DD7584"/>
    <w:rsid w:val="00DE0A24"/>
    <w:rsid w:val="00DE694A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D5F4C"/>
    <w:rsid w:val="00EE22CA"/>
    <w:rsid w:val="00EE638C"/>
    <w:rsid w:val="00F03501"/>
    <w:rsid w:val="00F059B9"/>
    <w:rsid w:val="00F10A81"/>
    <w:rsid w:val="00F15CE5"/>
    <w:rsid w:val="00F16CB2"/>
    <w:rsid w:val="00F2119E"/>
    <w:rsid w:val="00F239A8"/>
    <w:rsid w:val="00F24B6B"/>
    <w:rsid w:val="00F34C80"/>
    <w:rsid w:val="00F36EE9"/>
    <w:rsid w:val="00F4088D"/>
    <w:rsid w:val="00F42047"/>
    <w:rsid w:val="00F422E4"/>
    <w:rsid w:val="00F4587C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D70C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C6044-9E02-4F29-AD8D-37A35D4E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2020-02-21T12:01:00Z</cp:lastPrinted>
  <dcterms:created xsi:type="dcterms:W3CDTF">2020-03-03T16:20:00Z</dcterms:created>
  <dcterms:modified xsi:type="dcterms:W3CDTF">2020-03-23T17:48:00Z</dcterms:modified>
</cp:coreProperties>
</file>