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1783C" w:rsidRDefault="00281500" w:rsidP="00D9292F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F64B6A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82386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70</w:t>
      </w: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D1783C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82386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="00005BB2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64B6A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D1783C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D1783C" w:rsidRDefault="00D9292F" w:rsidP="00D52072">
      <w:pPr>
        <w:spacing w:before="120" w:after="120"/>
        <w:ind w:left="2835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Suplementa recursos por </w:t>
      </w:r>
      <w:r w:rsidR="00D1783C"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>Excesso de Arrecadação</w:t>
      </w:r>
      <w:r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</w:t>
      </w:r>
      <w:r w:rsidR="00281500"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D1783C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D1783C" w:rsidRDefault="00D9292F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O Prefeito Municipal de Timbó Grande, Estado de Santa Catarina, n</w:t>
      </w:r>
      <w:r w:rsidR="00281500" w:rsidRPr="00D1783C">
        <w:rPr>
          <w:rFonts w:asciiTheme="minorHAnsi" w:hAnsiTheme="minorHAnsi" w:cstheme="minorHAnsi"/>
          <w:sz w:val="24"/>
          <w:szCs w:val="24"/>
        </w:rPr>
        <w:t xml:space="preserve">o uso de suas atribuições legais, conferidas pelo artigo 103, inciso VIII, da Lei Orgânica do Município, </w:t>
      </w:r>
    </w:p>
    <w:p w:rsidR="00290454" w:rsidRPr="00D1783C" w:rsidRDefault="00290454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D1783C" w:rsidRPr="00D1783C" w:rsidRDefault="00290454" w:rsidP="00D1783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CONSIDERANDO:</w:t>
      </w:r>
    </w:p>
    <w:p w:rsidR="00290454" w:rsidRPr="00D1783C" w:rsidRDefault="00D1783C" w:rsidP="00D1783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O que dispõe § 3º do artigo 10º da Lei 2.148, de 14 de dezembro de 2018.</w:t>
      </w:r>
    </w:p>
    <w:p w:rsidR="00D1783C" w:rsidRPr="00D1783C" w:rsidRDefault="00D1783C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C7C12" w:rsidRPr="004C7C12" w:rsidRDefault="00281500" w:rsidP="004C7C1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C7C12">
        <w:rPr>
          <w:rFonts w:asciiTheme="minorHAnsi" w:hAnsiTheme="minorHAnsi" w:cstheme="minorHAnsi"/>
          <w:sz w:val="24"/>
          <w:szCs w:val="24"/>
        </w:rPr>
        <w:t>DECRETA:</w:t>
      </w:r>
    </w:p>
    <w:p w:rsidR="004C7C12" w:rsidRPr="004C7C12" w:rsidRDefault="004C7C12" w:rsidP="004C7C1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C7C12">
        <w:rPr>
          <w:rFonts w:asciiTheme="minorHAnsi" w:hAnsiTheme="minorHAnsi" w:cstheme="minorHAnsi"/>
          <w:bCs/>
          <w:sz w:val="24"/>
          <w:szCs w:val="24"/>
        </w:rPr>
        <w:t>Art. 1º</w:t>
      </w:r>
      <w:r w:rsidRPr="004C7C12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um Crédito Adicional Suplementar por conta do Excesso de Arrecadação no valor de</w:t>
      </w:r>
      <w:r w:rsidRPr="004C7C1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OLE_LINK29"/>
      <w:bookmarkStart w:id="2" w:name="OLE_LINK30"/>
      <w:bookmarkStart w:id="3" w:name="OLE_LINK31"/>
      <w:r w:rsidRPr="004C7C12">
        <w:rPr>
          <w:rFonts w:asciiTheme="minorHAnsi" w:hAnsiTheme="minorHAnsi" w:cstheme="minorHAnsi"/>
          <w:bCs/>
          <w:color w:val="000000"/>
          <w:sz w:val="24"/>
          <w:szCs w:val="24"/>
        </w:rPr>
        <w:t>R$ 13.500,00 (Treze mil e quinhentos reais)</w:t>
      </w:r>
      <w:bookmarkEnd w:id="1"/>
      <w:bookmarkEnd w:id="2"/>
      <w:bookmarkEnd w:id="3"/>
      <w:r w:rsidRPr="004C7C12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4C7C12" w:rsidRPr="004C7C12" w:rsidTr="004C7C12">
        <w:tc>
          <w:tcPr>
            <w:tcW w:w="2689" w:type="dxa"/>
          </w:tcPr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2006 – Secretaria de Transporte Obras e Serviços </w:t>
            </w:r>
          </w:p>
        </w:tc>
        <w:tc>
          <w:tcPr>
            <w:tcW w:w="1848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C12" w:rsidRPr="004C7C12" w:rsidTr="004C7C12">
        <w:tc>
          <w:tcPr>
            <w:tcW w:w="2689" w:type="dxa"/>
          </w:tcPr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>26 – Transporte</w:t>
            </w:r>
          </w:p>
        </w:tc>
        <w:tc>
          <w:tcPr>
            <w:tcW w:w="1848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C12" w:rsidRPr="004C7C12" w:rsidTr="004C7C12">
        <w:tc>
          <w:tcPr>
            <w:tcW w:w="2689" w:type="dxa"/>
          </w:tcPr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>782 – Transporte Rodoviário</w:t>
            </w:r>
          </w:p>
        </w:tc>
        <w:tc>
          <w:tcPr>
            <w:tcW w:w="1848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C12" w:rsidRPr="004C7C12" w:rsidTr="004C7C12">
        <w:tc>
          <w:tcPr>
            <w:tcW w:w="2689" w:type="dxa"/>
          </w:tcPr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>20 – Estradas Vicinais</w:t>
            </w:r>
          </w:p>
        </w:tc>
        <w:tc>
          <w:tcPr>
            <w:tcW w:w="1848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C12" w:rsidRPr="004C7C12" w:rsidTr="004C7C12">
        <w:tc>
          <w:tcPr>
            <w:tcW w:w="2689" w:type="dxa"/>
          </w:tcPr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>2.9 – Manutenção da Secretaria de Transporte, Obras e Serviços Públicos</w:t>
            </w:r>
          </w:p>
        </w:tc>
        <w:tc>
          <w:tcPr>
            <w:tcW w:w="1848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C12" w:rsidRPr="004C7C12" w:rsidTr="004C7C12">
        <w:tc>
          <w:tcPr>
            <w:tcW w:w="2689" w:type="dxa"/>
          </w:tcPr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Despesa 155:    </w:t>
            </w:r>
          </w:p>
        </w:tc>
        <w:tc>
          <w:tcPr>
            <w:tcW w:w="4819" w:type="dxa"/>
          </w:tcPr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>3.3.90.00.00 – Aplicações Diretas</w:t>
            </w:r>
          </w:p>
          <w:p w:rsidR="004C7C12" w:rsidRPr="004C7C12" w:rsidRDefault="004C7C12" w:rsidP="0075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1039 – Fundo Especial do Petróleo 0.1.39 </w:t>
            </w:r>
          </w:p>
        </w:tc>
        <w:tc>
          <w:tcPr>
            <w:tcW w:w="1848" w:type="dxa"/>
          </w:tcPr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C12" w:rsidRPr="004C7C12" w:rsidRDefault="004C7C12" w:rsidP="007508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7C12">
              <w:rPr>
                <w:rFonts w:asciiTheme="minorHAnsi" w:hAnsiTheme="minorHAnsi" w:cstheme="minorHAnsi"/>
                <w:sz w:val="22"/>
                <w:szCs w:val="22"/>
              </w:rPr>
              <w:t>R$   13.500,00</w:t>
            </w:r>
          </w:p>
        </w:tc>
      </w:tr>
    </w:tbl>
    <w:p w:rsidR="00D1783C" w:rsidRPr="00D1783C" w:rsidRDefault="00D1783C" w:rsidP="00D1783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Art. 2º - Este Decreto entra em vigor a partir da data de sua publicação.</w:t>
      </w:r>
    </w:p>
    <w:p w:rsidR="00281500" w:rsidRPr="00D1783C" w:rsidRDefault="00281500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D1783C" w:rsidRDefault="00281500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Timbó Grande</w:t>
      </w:r>
      <w:r w:rsidR="00353541" w:rsidRPr="00D1783C">
        <w:rPr>
          <w:rFonts w:asciiTheme="minorHAnsi" w:hAnsiTheme="minorHAnsi" w:cstheme="minorHAnsi"/>
          <w:sz w:val="24"/>
          <w:szCs w:val="24"/>
        </w:rPr>
        <w:t>, S</w:t>
      </w:r>
      <w:r w:rsidRPr="00D1783C">
        <w:rPr>
          <w:rFonts w:asciiTheme="minorHAnsi" w:hAnsiTheme="minorHAnsi" w:cstheme="minorHAnsi"/>
          <w:sz w:val="24"/>
          <w:szCs w:val="24"/>
        </w:rPr>
        <w:t xml:space="preserve">C, </w:t>
      </w:r>
      <w:r w:rsidR="00D1783C" w:rsidRPr="00D1783C">
        <w:rPr>
          <w:rFonts w:asciiTheme="minorHAnsi" w:hAnsiTheme="minorHAnsi" w:cstheme="minorHAnsi"/>
          <w:sz w:val="24"/>
          <w:szCs w:val="24"/>
        </w:rPr>
        <w:t>2</w:t>
      </w:r>
      <w:r w:rsidR="00823868">
        <w:rPr>
          <w:rFonts w:asciiTheme="minorHAnsi" w:hAnsiTheme="minorHAnsi" w:cstheme="minorHAnsi"/>
          <w:sz w:val="24"/>
          <w:szCs w:val="24"/>
        </w:rPr>
        <w:t>6</w:t>
      </w:r>
      <w:r w:rsidRPr="00D1783C">
        <w:rPr>
          <w:rFonts w:asciiTheme="minorHAnsi" w:hAnsiTheme="minorHAnsi" w:cstheme="minorHAnsi"/>
          <w:sz w:val="24"/>
          <w:szCs w:val="24"/>
        </w:rPr>
        <w:t xml:space="preserve"> de </w:t>
      </w:r>
      <w:r w:rsidR="00353541" w:rsidRPr="00D1783C">
        <w:rPr>
          <w:rFonts w:asciiTheme="minorHAnsi" w:hAnsiTheme="minorHAnsi" w:cstheme="minorHAnsi"/>
          <w:sz w:val="24"/>
          <w:szCs w:val="24"/>
        </w:rPr>
        <w:t>d</w:t>
      </w:r>
      <w:r w:rsidR="00F64B6A" w:rsidRPr="00D1783C">
        <w:rPr>
          <w:rFonts w:asciiTheme="minorHAnsi" w:hAnsiTheme="minorHAnsi" w:cstheme="minorHAnsi"/>
          <w:sz w:val="24"/>
          <w:szCs w:val="24"/>
        </w:rPr>
        <w:t>ezembro</w:t>
      </w:r>
      <w:r w:rsidR="00711C54" w:rsidRPr="00D1783C">
        <w:rPr>
          <w:rFonts w:asciiTheme="minorHAnsi" w:hAnsiTheme="minorHAnsi" w:cstheme="minorHAnsi"/>
          <w:sz w:val="24"/>
          <w:szCs w:val="24"/>
        </w:rPr>
        <w:t xml:space="preserve"> </w:t>
      </w:r>
      <w:r w:rsidR="00C83292" w:rsidRPr="00D1783C">
        <w:rPr>
          <w:rFonts w:asciiTheme="minorHAnsi" w:hAnsiTheme="minorHAnsi" w:cstheme="minorHAnsi"/>
          <w:sz w:val="24"/>
          <w:szCs w:val="24"/>
        </w:rPr>
        <w:t>de 2019</w:t>
      </w:r>
      <w:r w:rsidRPr="00D1783C">
        <w:rPr>
          <w:rFonts w:asciiTheme="minorHAnsi" w:hAnsiTheme="minorHAnsi" w:cstheme="minorHAnsi"/>
          <w:sz w:val="24"/>
          <w:szCs w:val="24"/>
        </w:rPr>
        <w:t>.</w:t>
      </w:r>
    </w:p>
    <w:p w:rsidR="00353541" w:rsidRPr="00D1783C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3541" w:rsidRPr="00D1783C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3541" w:rsidRPr="00D1783C" w:rsidRDefault="00353541" w:rsidP="0035354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Ari José Galeski</w:t>
      </w:r>
      <w:r w:rsidRPr="00D1783C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C62553" w:rsidRPr="00D1783C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  <w:r w:rsidRPr="00D1783C">
        <w:rPr>
          <w:rFonts w:asciiTheme="minorHAnsi" w:hAnsiTheme="minorHAnsi" w:cstheme="minorHAnsi"/>
          <w:sz w:val="18"/>
          <w:szCs w:val="18"/>
        </w:rPr>
        <w:t>E</w:t>
      </w:r>
      <w:r w:rsidR="00C62553" w:rsidRPr="00D1783C">
        <w:rPr>
          <w:rFonts w:asciiTheme="minorHAnsi" w:hAnsiTheme="minorHAnsi" w:cstheme="minorHAnsi"/>
          <w:sz w:val="18"/>
          <w:szCs w:val="18"/>
        </w:rPr>
        <w:t xml:space="preserve">ste Decreto foi publicado no Mural da Prefeitura Municipal de Timbó Grande em </w:t>
      </w:r>
      <w:r w:rsidR="00D1783C" w:rsidRPr="00D1783C">
        <w:rPr>
          <w:rFonts w:asciiTheme="minorHAnsi" w:hAnsiTheme="minorHAnsi" w:cstheme="minorHAnsi"/>
          <w:sz w:val="18"/>
          <w:szCs w:val="18"/>
        </w:rPr>
        <w:t>2</w:t>
      </w:r>
      <w:r w:rsidR="00823868">
        <w:rPr>
          <w:rFonts w:asciiTheme="minorHAnsi" w:hAnsiTheme="minorHAnsi" w:cstheme="minorHAnsi"/>
          <w:sz w:val="18"/>
          <w:szCs w:val="18"/>
        </w:rPr>
        <w:t>6</w:t>
      </w:r>
      <w:r w:rsidR="00C62553" w:rsidRPr="00D1783C">
        <w:rPr>
          <w:rFonts w:asciiTheme="minorHAnsi" w:hAnsiTheme="minorHAnsi" w:cstheme="minorHAnsi"/>
          <w:sz w:val="18"/>
          <w:szCs w:val="18"/>
        </w:rPr>
        <w:t xml:space="preserve"> de </w:t>
      </w:r>
      <w:r w:rsidRPr="00D1783C">
        <w:rPr>
          <w:rFonts w:asciiTheme="minorHAnsi" w:hAnsiTheme="minorHAnsi" w:cstheme="minorHAnsi"/>
          <w:sz w:val="18"/>
          <w:szCs w:val="18"/>
        </w:rPr>
        <w:t>d</w:t>
      </w:r>
      <w:r w:rsidR="00F64B6A" w:rsidRPr="00D1783C">
        <w:rPr>
          <w:rFonts w:asciiTheme="minorHAnsi" w:hAnsiTheme="minorHAnsi" w:cstheme="minorHAnsi"/>
          <w:sz w:val="18"/>
          <w:szCs w:val="18"/>
        </w:rPr>
        <w:t>ezembro</w:t>
      </w:r>
      <w:r w:rsidR="00C83292" w:rsidRPr="00D1783C">
        <w:rPr>
          <w:rFonts w:asciiTheme="minorHAnsi" w:hAnsiTheme="minorHAnsi" w:cstheme="minorHAnsi"/>
          <w:sz w:val="18"/>
          <w:szCs w:val="18"/>
        </w:rPr>
        <w:t xml:space="preserve"> de 2019</w:t>
      </w:r>
      <w:r w:rsidR="00C62553" w:rsidRPr="00D1783C">
        <w:rPr>
          <w:rFonts w:asciiTheme="minorHAnsi" w:hAnsiTheme="minorHAnsi" w:cstheme="minorHAnsi"/>
          <w:sz w:val="18"/>
          <w:szCs w:val="18"/>
        </w:rPr>
        <w:t>.</w:t>
      </w:r>
    </w:p>
    <w:p w:rsidR="00353541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</w:p>
    <w:p w:rsidR="00D1783C" w:rsidRPr="00D1783C" w:rsidRDefault="00D1783C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</w:p>
    <w:p w:rsidR="00281500" w:rsidRPr="00D1783C" w:rsidRDefault="00353541" w:rsidP="0035354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Evandro Carlos de Medeiros</w:t>
      </w:r>
      <w:r w:rsidRPr="00D1783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281500" w:rsidRPr="00D1783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F8" w:rsidRDefault="00B64AF8" w:rsidP="00E007F4">
      <w:r>
        <w:separator/>
      </w:r>
    </w:p>
  </w:endnote>
  <w:endnote w:type="continuationSeparator" w:id="0">
    <w:p w:rsidR="00B64AF8" w:rsidRDefault="00B64AF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C89F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F8" w:rsidRDefault="00B64AF8" w:rsidP="00E007F4">
      <w:r>
        <w:separator/>
      </w:r>
    </w:p>
  </w:footnote>
  <w:footnote w:type="continuationSeparator" w:id="0">
    <w:p w:rsidR="00B64AF8" w:rsidRDefault="00B64AF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7C12" w:rsidRPr="004C7C1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C7C12" w:rsidRPr="004C7C1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1846"/>
    <w:rsid w:val="000A22C6"/>
    <w:rsid w:val="000A3E2B"/>
    <w:rsid w:val="000A555D"/>
    <w:rsid w:val="000A60DA"/>
    <w:rsid w:val="000B5E39"/>
    <w:rsid w:val="000C2F1E"/>
    <w:rsid w:val="000C5807"/>
    <w:rsid w:val="000D25E2"/>
    <w:rsid w:val="000D532A"/>
    <w:rsid w:val="000D7CEE"/>
    <w:rsid w:val="000E1124"/>
    <w:rsid w:val="000F4FE2"/>
    <w:rsid w:val="000F52A8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3007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2540F"/>
    <w:rsid w:val="00333FFD"/>
    <w:rsid w:val="00335D58"/>
    <w:rsid w:val="00337AE8"/>
    <w:rsid w:val="00341D31"/>
    <w:rsid w:val="0035354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77799"/>
    <w:rsid w:val="00486021"/>
    <w:rsid w:val="004A13C7"/>
    <w:rsid w:val="004A6D42"/>
    <w:rsid w:val="004B176A"/>
    <w:rsid w:val="004B7308"/>
    <w:rsid w:val="004C095B"/>
    <w:rsid w:val="004C7C12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4F5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1C54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4F33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868"/>
    <w:rsid w:val="00823DB8"/>
    <w:rsid w:val="00825364"/>
    <w:rsid w:val="00831520"/>
    <w:rsid w:val="0083582C"/>
    <w:rsid w:val="0084328D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45EE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A5822"/>
    <w:rsid w:val="00AB2E94"/>
    <w:rsid w:val="00AB37F0"/>
    <w:rsid w:val="00AC2CEC"/>
    <w:rsid w:val="00AC4D5A"/>
    <w:rsid w:val="00AC5C3F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6D2"/>
    <w:rsid w:val="00B36B10"/>
    <w:rsid w:val="00B431DF"/>
    <w:rsid w:val="00B4631D"/>
    <w:rsid w:val="00B57E09"/>
    <w:rsid w:val="00B62DD6"/>
    <w:rsid w:val="00B64AF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1783C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292F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06FD1"/>
    <w:rsid w:val="00F10A81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64799"/>
    <w:rsid w:val="00F64B6A"/>
    <w:rsid w:val="00F676DC"/>
    <w:rsid w:val="00F70181"/>
    <w:rsid w:val="00F70281"/>
    <w:rsid w:val="00F70555"/>
    <w:rsid w:val="00F83D6F"/>
    <w:rsid w:val="00F90076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EAB4C"/>
  <w15:docId w15:val="{866FE496-4743-476B-B31C-46C0320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776B-CAB1-4826-8648-320FCB0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2019-12-20T16:31:00Z</cp:lastPrinted>
  <dcterms:created xsi:type="dcterms:W3CDTF">2019-12-27T00:57:00Z</dcterms:created>
  <dcterms:modified xsi:type="dcterms:W3CDTF">2019-12-27T01:01:00Z</dcterms:modified>
</cp:coreProperties>
</file>