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</w:t>
      </w:r>
      <w:r w:rsidR="00556EDD">
        <w:rPr>
          <w:rFonts w:cstheme="minorHAnsi"/>
          <w:caps/>
          <w:sz w:val="24"/>
          <w:szCs w:val="24"/>
        </w:rPr>
        <w:t>5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6B4A7A">
        <w:rPr>
          <w:rFonts w:cstheme="minorHAnsi"/>
          <w:caps/>
          <w:sz w:val="24"/>
          <w:szCs w:val="24"/>
        </w:rPr>
        <w:t>18</w:t>
      </w:r>
      <w:r w:rsidR="008603D8">
        <w:rPr>
          <w:rFonts w:cstheme="minorHAnsi"/>
          <w:caps/>
          <w:sz w:val="24"/>
          <w:szCs w:val="24"/>
        </w:rPr>
        <w:t xml:space="preserve"> de dezembro</w:t>
      </w:r>
      <w:r w:rsidR="00D00806" w:rsidRPr="00456526">
        <w:rPr>
          <w:rFonts w:cstheme="minorHAnsi"/>
          <w:caps/>
          <w:sz w:val="24"/>
          <w:szCs w:val="24"/>
        </w:rPr>
        <w:t xml:space="preserve"> de 2019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556EDD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9F1B7A">
        <w:rPr>
          <w:rFonts w:cstheme="minorHAnsi"/>
          <w:sz w:val="24"/>
          <w:szCs w:val="24"/>
        </w:rPr>
        <w:t>Dispõe sobre Abertura de Crédito Adicional Suplementar e dá outras providências</w:t>
      </w:r>
      <w:r w:rsidR="0058539E"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556EDD" w:rsidRPr="009F1B7A" w:rsidRDefault="00556EDD" w:rsidP="00556EDD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9F1B7A">
        <w:rPr>
          <w:rFonts w:cstheme="minorHAnsi"/>
          <w:bCs/>
          <w:sz w:val="24"/>
          <w:szCs w:val="24"/>
        </w:rPr>
        <w:t>Art. 1</w:t>
      </w:r>
      <w:proofErr w:type="gramStart"/>
      <w:r w:rsidRPr="009F1B7A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bCs/>
          <w:sz w:val="24"/>
          <w:szCs w:val="24"/>
        </w:rPr>
        <w:t xml:space="preserve">  </w:t>
      </w:r>
      <w:r w:rsidRPr="009F1B7A">
        <w:rPr>
          <w:rFonts w:cstheme="minorHAnsi"/>
          <w:sz w:val="24"/>
          <w:szCs w:val="24"/>
        </w:rPr>
        <w:t>Fica</w:t>
      </w:r>
      <w:proofErr w:type="gramEnd"/>
      <w:r w:rsidRPr="009F1B7A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9F1B7A">
        <w:rPr>
          <w:rFonts w:cstheme="minorHAnsi"/>
          <w:bCs/>
          <w:color w:val="000000"/>
          <w:sz w:val="24"/>
          <w:szCs w:val="24"/>
        </w:rPr>
        <w:t xml:space="preserve">R$ 181.591,67 (Cento e oitenta e um mil quinhentos e noventa e um reais e sessenta e sete centavos), </w:t>
      </w:r>
      <w:r w:rsidRPr="009F1B7A">
        <w:rPr>
          <w:rFonts w:cstheme="minorHAnsi"/>
          <w:sz w:val="24"/>
          <w:szCs w:val="24"/>
        </w:rPr>
        <w:t xml:space="preserve">para reforço das Dotações Orçamentárias, conforme abaixo, integrando tais procedimentos a Lei Municipal </w:t>
      </w:r>
      <w:r>
        <w:rPr>
          <w:rFonts w:cstheme="minorHAnsi"/>
          <w:sz w:val="24"/>
          <w:szCs w:val="24"/>
        </w:rPr>
        <w:t xml:space="preserve">nº </w:t>
      </w:r>
      <w:r w:rsidRPr="009F1B7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Pr="009F1B7A">
        <w:rPr>
          <w:rFonts w:cstheme="minorHAnsi"/>
          <w:sz w:val="24"/>
          <w:szCs w:val="24"/>
        </w:rPr>
        <w:t>148/2018, de 14 de dezembro de 2018</w:t>
      </w:r>
      <w:r>
        <w:rPr>
          <w:rFonts w:cstheme="minorHAnsi"/>
          <w:sz w:val="24"/>
          <w:szCs w:val="24"/>
        </w:rPr>
        <w:t>,</w:t>
      </w:r>
      <w:r w:rsidRPr="009F1B7A">
        <w:rPr>
          <w:rFonts w:cstheme="minorHAnsi"/>
          <w:sz w:val="24"/>
          <w:szCs w:val="24"/>
        </w:rPr>
        <w:t xml:space="preserve"> que estima a receita e fixa a despesa do município para o exercício de 2019.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2002 – SECRETARIA DE ADMINISTRAÇÃO E FINANÇAS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4 -Administração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122  – Administração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 – ADMINISTRAÇÃO, PLANEJAMENTO E FINANÇAS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2.3 – Manutenção da Secretaria de Administração e Finanças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42: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3.1.90.00.00 – Aplicações Diretas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R$ 100.000,00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43: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R$ 24.409,06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361  – Ensino Fundamental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9 – EDUCAÇÃO BÁSICA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2.13 – Manutenção do Transporte Escolar Educação Básica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105: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3.1.90.00.00 – Aplicações Diretas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R$ 37.182,61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2.52 – Manutenção da Educação Básica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116: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3.1.90.00.00 – Aplicações Diretas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848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R$ 20.000,00</w:t>
            </w:r>
          </w:p>
        </w:tc>
      </w:tr>
    </w:tbl>
    <w:p w:rsidR="00556EDD" w:rsidRPr="009F1B7A" w:rsidRDefault="00556EDD" w:rsidP="00556EDD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9F1B7A">
        <w:rPr>
          <w:rFonts w:cstheme="minorHAnsi"/>
          <w:sz w:val="24"/>
          <w:szCs w:val="24"/>
        </w:rPr>
        <w:lastRenderedPageBreak/>
        <w:t>Art. 2</w:t>
      </w:r>
      <w:proofErr w:type="gramStart"/>
      <w:r w:rsidRPr="009F1B7A">
        <w:rPr>
          <w:rFonts w:cstheme="minorHAnsi"/>
          <w:color w:val="000000"/>
          <w:sz w:val="24"/>
          <w:szCs w:val="24"/>
        </w:rPr>
        <w:t>º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9F1B7A">
        <w:rPr>
          <w:rFonts w:cstheme="minorHAnsi"/>
          <w:sz w:val="24"/>
          <w:szCs w:val="24"/>
        </w:rPr>
        <w:t>O</w:t>
      </w:r>
      <w:proofErr w:type="gramEnd"/>
      <w:r w:rsidRPr="009F1B7A">
        <w:rPr>
          <w:rFonts w:cstheme="minorHAnsi"/>
          <w:sz w:val="24"/>
          <w:szCs w:val="24"/>
        </w:rPr>
        <w:t xml:space="preserve"> Crédito aberto por esta lei correrá,</w:t>
      </w:r>
      <w:r w:rsidRPr="009F1B7A">
        <w:rPr>
          <w:rFonts w:cstheme="minorHAnsi"/>
          <w:color w:val="000000"/>
          <w:sz w:val="24"/>
          <w:szCs w:val="24"/>
        </w:rPr>
        <w:t xml:space="preserve"> por </w:t>
      </w:r>
      <w:r w:rsidRPr="009F1B7A">
        <w:rPr>
          <w:rFonts w:cstheme="minorHAnsi"/>
          <w:sz w:val="24"/>
          <w:szCs w:val="24"/>
        </w:rPr>
        <w:t xml:space="preserve">conta </w:t>
      </w:r>
      <w:r w:rsidRPr="009F1B7A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9F1B7A">
        <w:rPr>
          <w:rFonts w:cstheme="minorHAnsi"/>
          <w:sz w:val="24"/>
          <w:szCs w:val="24"/>
        </w:rPr>
        <w:t xml:space="preserve">no valor de </w:t>
      </w:r>
      <w:r w:rsidRPr="009F1B7A">
        <w:rPr>
          <w:rFonts w:cstheme="minorHAnsi"/>
          <w:bCs/>
          <w:color w:val="000000"/>
          <w:sz w:val="24"/>
          <w:szCs w:val="24"/>
        </w:rPr>
        <w:t>R$ 181.591,67 (Cento e oitenta e um mil quinhentos e noventa e um reais e sessenta e sete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2001 – GABINETE DO PREFEITO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08 – Assistência Social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 xml:space="preserve">243 – Assistência </w:t>
            </w:r>
            <w:proofErr w:type="spellStart"/>
            <w:r w:rsidRPr="009F1B7A">
              <w:rPr>
                <w:rFonts w:cstheme="minorHAnsi"/>
                <w:bCs/>
                <w:sz w:val="21"/>
                <w:szCs w:val="21"/>
              </w:rPr>
              <w:t>a</w:t>
            </w:r>
            <w:proofErr w:type="spellEnd"/>
            <w:r w:rsidRPr="009F1B7A">
              <w:rPr>
                <w:rFonts w:cstheme="minorHAnsi"/>
                <w:bCs/>
                <w:sz w:val="21"/>
                <w:szCs w:val="21"/>
              </w:rPr>
              <w:t xml:space="preserve"> Criança e ao Adolescente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23 – ASSISTÊNCIA SOCIAL GERAL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2.48 – Manutenção das atividades do FIA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69: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  <w:r w:rsidRPr="009F1B7A">
              <w:rPr>
                <w:rFonts w:cstheme="minorHAnsi"/>
                <w:sz w:val="21"/>
                <w:szCs w:val="21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R$ 1.859,56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28 –Encargos Especiais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846  – Outros Encargos Especiais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0 – Operações Especiais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0.2 – Contribuição ao PASEP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64: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  <w:r w:rsidRPr="009F1B7A">
              <w:rPr>
                <w:rFonts w:cstheme="minorHAnsi"/>
                <w:sz w:val="21"/>
                <w:szCs w:val="21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R$ 12.000,00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65: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  <w:r w:rsidRPr="009F1B7A">
              <w:rPr>
                <w:rFonts w:cstheme="minorHAnsi"/>
                <w:sz w:val="21"/>
                <w:szCs w:val="21"/>
              </w:rPr>
              <w:br/>
              <w:t>Fonte de Recurso: 1001 – Recursos Próprios – Educação 0.1.01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R$ 802,30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 – Agricultura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606  – Extensão Rural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16 – PROMOÇÃO EXTENSÃO RURAL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2.21 – Manutenção da Secretaria da Agricultura e Desenvolvimento Rural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74: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3.1.90.00.00 – Aplicações Diretas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R$ 8.037,50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76: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3.3.90.00.00 – Aplicações Diretas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R$ 10.000,00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2006 – SECRETARIA TRANSPORTE OBRAS E SERVIÇOS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 xml:space="preserve">15 – Urbanismo 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 xml:space="preserve">451  – </w:t>
            </w:r>
            <w:proofErr w:type="spellStart"/>
            <w:r w:rsidRPr="009F1B7A">
              <w:rPr>
                <w:rFonts w:cstheme="minorHAnsi"/>
                <w:bCs/>
                <w:sz w:val="21"/>
                <w:szCs w:val="21"/>
              </w:rPr>
              <w:t>Infra-Estrutura</w:t>
            </w:r>
            <w:proofErr w:type="spellEnd"/>
            <w:r w:rsidRPr="009F1B7A">
              <w:rPr>
                <w:rFonts w:cstheme="minorHAnsi"/>
                <w:bCs/>
                <w:sz w:val="21"/>
                <w:szCs w:val="21"/>
              </w:rPr>
              <w:t xml:space="preserve"> Urbana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17 – URBANISMO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 xml:space="preserve">1.5 – Pavimentação de Ruas e Passeios  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147: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4.4.90.00.00 – Aplicações Diretas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R$ 85.412,12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361  – Ensino Fundamental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1.32 – Aquisição de Veículos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95: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4.4.90.00.00 – Aplicações Diretas 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R$ 545,00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0E65C2" w:rsidRDefault="000E65C2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0E65C2" w:rsidRDefault="000E65C2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1.34 – Reforma de Ginásio de Esporte e Quadra Escolares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100: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R$ 301,00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0E65C2" w:rsidRDefault="000E65C2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0E65C2" w:rsidRDefault="000E65C2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365  – Educação Infantil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10 – CRIANÇA NA ESCOLA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2.17 – Manutenção Ensino Infantil – Pré-escola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133: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3.1.90.00.00 – Aplicações Diretas 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R$ 40.000,00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301: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3.1.91.00.00 – Aplicações Direta Decorrente de Operação entre Órgãos, Fundos e Entidades Integrantes dos Orçamentos Fiscal e da Seguridade Social</w:t>
            </w:r>
            <w:r w:rsidRPr="009F1B7A">
              <w:rPr>
                <w:rFonts w:cstheme="minorHAnsi"/>
                <w:sz w:val="21"/>
                <w:szCs w:val="21"/>
              </w:rPr>
              <w:br/>
              <w:t>Fonte de Recurso: 1001 – Recursos Próprios – Educação 0.1.01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R$ 6.544,11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0E65C2" w:rsidRDefault="000E65C2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0E65C2" w:rsidRDefault="000E65C2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367  – Educação Especial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 ESPECIAL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2.83 – Manutenção da Educação Especial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302: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R$ 8.920,00</w:t>
            </w: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0E65C2" w:rsidRDefault="000E65C2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56EDD" w:rsidRDefault="00556EDD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0E65C2" w:rsidRDefault="000E65C2" w:rsidP="00C73294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bookmarkStart w:id="0" w:name="_GoBack"/>
            <w:bookmarkEnd w:id="0"/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27 – Desporto e Lazer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812  – Desporto Comunitário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7 – DESPORTO AMADOR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2.20 – Manutenção das atividades Esportivas Educação Especial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6EDD" w:rsidRPr="009F1B7A" w:rsidTr="00C73294">
        <w:tc>
          <w:tcPr>
            <w:tcW w:w="2689" w:type="dxa"/>
            <w:hideMark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143:    </w:t>
            </w:r>
          </w:p>
        </w:tc>
        <w:tc>
          <w:tcPr>
            <w:tcW w:w="4819" w:type="dxa"/>
            <w:hideMark/>
          </w:tcPr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</w:p>
          <w:p w:rsidR="00556EDD" w:rsidRPr="009F1B7A" w:rsidRDefault="00556EDD" w:rsidP="00C73294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556EDD" w:rsidRPr="009F1B7A" w:rsidRDefault="00556EDD" w:rsidP="00C73294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R$ 7.170,08</w:t>
            </w:r>
          </w:p>
        </w:tc>
      </w:tr>
    </w:tbl>
    <w:p w:rsidR="00556EDD" w:rsidRPr="002D59D1" w:rsidRDefault="00556EDD" w:rsidP="00556EDD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2D59D1">
        <w:rPr>
          <w:rFonts w:cstheme="minorHAnsi"/>
          <w:sz w:val="24"/>
          <w:szCs w:val="24"/>
        </w:rPr>
        <w:lastRenderedPageBreak/>
        <w:t xml:space="preserve">Art. </w:t>
      </w:r>
      <w:r w:rsidRPr="002D59D1">
        <w:rPr>
          <w:rFonts w:cstheme="minorHAnsi"/>
          <w:color w:val="000000"/>
          <w:sz w:val="24"/>
          <w:szCs w:val="24"/>
        </w:rPr>
        <w:t>3</w:t>
      </w:r>
      <w:proofErr w:type="gramStart"/>
      <w:r w:rsidRPr="002D59D1">
        <w:rPr>
          <w:rFonts w:cstheme="minorHAnsi"/>
          <w:color w:val="000000"/>
          <w:sz w:val="24"/>
          <w:szCs w:val="24"/>
        </w:rPr>
        <w:t xml:space="preserve">º  </w:t>
      </w:r>
      <w:r w:rsidRPr="002D59D1">
        <w:rPr>
          <w:rFonts w:cstheme="minorHAnsi"/>
          <w:sz w:val="24"/>
          <w:szCs w:val="24"/>
        </w:rPr>
        <w:t>Esta</w:t>
      </w:r>
      <w:proofErr w:type="gramEnd"/>
      <w:r w:rsidRPr="002D59D1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6B4A7A">
        <w:rPr>
          <w:rFonts w:cstheme="minorHAnsi"/>
          <w:sz w:val="24"/>
          <w:szCs w:val="24"/>
        </w:rPr>
        <w:t>18</w:t>
      </w:r>
      <w:r w:rsidR="006B58DE">
        <w:rPr>
          <w:rFonts w:cstheme="minorHAnsi"/>
          <w:sz w:val="24"/>
          <w:szCs w:val="24"/>
        </w:rPr>
        <w:t xml:space="preserve"> de dezembro de</w:t>
      </w:r>
      <w:r w:rsidR="00A51080" w:rsidRPr="00456526">
        <w:rPr>
          <w:rFonts w:cstheme="minorHAnsi"/>
          <w:sz w:val="24"/>
          <w:szCs w:val="24"/>
        </w:rPr>
        <w:t xml:space="preserve"> 2019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B4A7A">
        <w:rPr>
          <w:rFonts w:cstheme="minorHAnsi"/>
          <w:sz w:val="20"/>
          <w:szCs w:val="20"/>
        </w:rPr>
        <w:t>18</w:t>
      </w:r>
      <w:r w:rsidR="006B58DE">
        <w:rPr>
          <w:rFonts w:cstheme="minorHAnsi"/>
          <w:sz w:val="20"/>
          <w:szCs w:val="20"/>
        </w:rPr>
        <w:t xml:space="preserve"> de dezembro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B1B6E" w:rsidRDefault="005B1B6E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19" w:rsidRDefault="00EC0719" w:rsidP="00E007F4">
      <w:pPr>
        <w:spacing w:after="0" w:line="240" w:lineRule="auto"/>
      </w:pPr>
      <w:r>
        <w:separator/>
      </w:r>
    </w:p>
  </w:endnote>
  <w:endnote w:type="continuationSeparator" w:id="0">
    <w:p w:rsidR="00EC0719" w:rsidRDefault="00EC071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19" w:rsidRDefault="00EC0719" w:rsidP="00E007F4">
      <w:pPr>
        <w:spacing w:after="0" w:line="240" w:lineRule="auto"/>
      </w:pPr>
      <w:r>
        <w:separator/>
      </w:r>
    </w:p>
  </w:footnote>
  <w:footnote w:type="continuationSeparator" w:id="0">
    <w:p w:rsidR="00EC0719" w:rsidRDefault="00EC071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65C2" w:rsidRPr="000E65C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E65C2" w:rsidRPr="000E65C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70145"/>
    <w:rsid w:val="00570C42"/>
    <w:rsid w:val="00570F97"/>
    <w:rsid w:val="005747B4"/>
    <w:rsid w:val="00582B05"/>
    <w:rsid w:val="00583D6C"/>
    <w:rsid w:val="0058539E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22DD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5A2E-3377-4A97-9730-1111BFCD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2019-11-14T12:40:00Z</cp:lastPrinted>
  <dcterms:created xsi:type="dcterms:W3CDTF">2019-12-18T12:08:00Z</dcterms:created>
  <dcterms:modified xsi:type="dcterms:W3CDTF">2019-12-18T12:11:00Z</dcterms:modified>
</cp:coreProperties>
</file>