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10</w:t>
      </w:r>
      <w:r w:rsidR="009127CD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6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AD5CA2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EB1C8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5</w:t>
      </w:r>
      <w:r w:rsidR="00921B7C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setembro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201</w:t>
      </w:r>
      <w:r w:rsidR="003D3A7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253661" w:rsidRDefault="00192B5C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Fiscal de Contrato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 dá outras providências.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253661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253661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253661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As determinações legais em relação à necessidade de nomeação de fiscal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   formalização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 xml:space="preserve">Finalmente, a indicação </w:t>
      </w:r>
      <w:r w:rsidRPr="00253661">
        <w:rPr>
          <w:rFonts w:cstheme="minorHAnsi"/>
          <w:color w:val="000000" w:themeColor="text1"/>
          <w:sz w:val="24"/>
          <w:szCs w:val="24"/>
        </w:rPr>
        <w:t xml:space="preserve">ao </w:t>
      </w:r>
      <w:r w:rsidRPr="00253661">
        <w:rPr>
          <w:rFonts w:cstheme="minorHAnsi"/>
          <w:color w:val="000000" w:themeColor="text1"/>
          <w:sz w:val="24"/>
          <w:szCs w:val="24"/>
        </w:rPr>
        <w:t>Chefe do Poder Executivo,</w:t>
      </w:r>
    </w:p>
    <w:p w:rsidR="00EC14C1" w:rsidRPr="00253661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1765" w:rsidRDefault="00281500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ecreta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C61765" w:rsidRDefault="00253661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>Art. 1º - Fica nomead</w:t>
      </w:r>
      <w:r w:rsidR="009127CD"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Fiscal de Contrato, no Contrato </w:t>
      </w:r>
      <w:r w:rsidR="009127CD"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>para fornecimento de manutenção corretiva e preventiva nos computadores do Fundo Municipal de Saúde, processo licitatório, o servidor público municipal, Adriano dos Santos</w:t>
      </w: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>, com as seguintes atribuições: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não seja ultrapassado;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 – Solicitar, à unidade competente, esclarecimentos acerca do contrato sob sua responsabilidade;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VIII – Manter, sob sua guarda, cópia dos processos de contratação;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 – Receber e atestar Notas Fiscais e encaminhá-las à unidade competente para pagamento;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AD5CA2" w:rsidRPr="00253661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Decreto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AD5CA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AD5CA2" w:rsidRPr="00253661">
        <w:rPr>
          <w:rFonts w:asciiTheme="minorHAnsi" w:hAnsiTheme="minorHAnsi" w:cstheme="minorHAnsi"/>
          <w:color w:val="000000" w:themeColor="text1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47" w:rsidRDefault="00500147" w:rsidP="00E007F4">
      <w:r>
        <w:separator/>
      </w:r>
    </w:p>
  </w:endnote>
  <w:endnote w:type="continuationSeparator" w:id="0">
    <w:p w:rsidR="00500147" w:rsidRDefault="0050014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47" w:rsidRDefault="00500147" w:rsidP="00E007F4">
      <w:r>
        <w:separator/>
      </w:r>
    </w:p>
  </w:footnote>
  <w:footnote w:type="continuationSeparator" w:id="0">
    <w:p w:rsidR="00500147" w:rsidRDefault="0050014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1765" w:rsidRPr="00C6176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61765" w:rsidRPr="00C6176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147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176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DB08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43FC-3798-4A22-8ECE-9FDFA106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2019-09-26T14:45:00Z</cp:lastPrinted>
  <dcterms:created xsi:type="dcterms:W3CDTF">2019-09-26T15:00:00Z</dcterms:created>
  <dcterms:modified xsi:type="dcterms:W3CDTF">2019-09-26T15:03:00Z</dcterms:modified>
</cp:coreProperties>
</file>