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DD70D7" w:rsidRDefault="00236030" w:rsidP="00227C0D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DD70D7">
        <w:rPr>
          <w:rFonts w:cstheme="minorHAnsi"/>
          <w:caps/>
          <w:sz w:val="24"/>
          <w:szCs w:val="24"/>
        </w:rPr>
        <w:t>LEI Nº 2</w:t>
      </w:r>
      <w:r w:rsidR="00BA3DFA" w:rsidRPr="00DD70D7">
        <w:rPr>
          <w:rFonts w:cstheme="minorHAnsi"/>
          <w:caps/>
          <w:sz w:val="24"/>
          <w:szCs w:val="24"/>
        </w:rPr>
        <w:t>.</w:t>
      </w:r>
      <w:r w:rsidR="001F5AD9" w:rsidRPr="00DD70D7">
        <w:rPr>
          <w:rFonts w:cstheme="minorHAnsi"/>
          <w:caps/>
          <w:sz w:val="24"/>
          <w:szCs w:val="24"/>
        </w:rPr>
        <w:t>1</w:t>
      </w:r>
      <w:r w:rsidR="00FC11E7" w:rsidRPr="00DD70D7">
        <w:rPr>
          <w:rFonts w:cstheme="minorHAnsi"/>
          <w:caps/>
          <w:sz w:val="24"/>
          <w:szCs w:val="24"/>
        </w:rPr>
        <w:t>8</w:t>
      </w:r>
      <w:r w:rsidR="002E0E56" w:rsidRPr="00DD70D7">
        <w:rPr>
          <w:rFonts w:cstheme="minorHAnsi"/>
          <w:caps/>
          <w:sz w:val="24"/>
          <w:szCs w:val="24"/>
        </w:rPr>
        <w:t>6</w:t>
      </w:r>
      <w:r w:rsidR="004B3D37" w:rsidRPr="00DD70D7">
        <w:rPr>
          <w:rFonts w:cstheme="minorHAnsi"/>
          <w:caps/>
          <w:sz w:val="24"/>
          <w:szCs w:val="24"/>
        </w:rPr>
        <w:t xml:space="preserve">, DE </w:t>
      </w:r>
      <w:r w:rsidR="007B41F8" w:rsidRPr="00DD70D7">
        <w:rPr>
          <w:rFonts w:cstheme="minorHAnsi"/>
          <w:caps/>
          <w:sz w:val="24"/>
          <w:szCs w:val="24"/>
        </w:rPr>
        <w:t>2</w:t>
      </w:r>
      <w:r w:rsidR="007917F4" w:rsidRPr="00DD70D7">
        <w:rPr>
          <w:rFonts w:cstheme="minorHAnsi"/>
          <w:caps/>
          <w:sz w:val="24"/>
          <w:szCs w:val="24"/>
        </w:rPr>
        <w:t>5</w:t>
      </w:r>
      <w:r w:rsidR="007B41F8" w:rsidRPr="00DD70D7">
        <w:rPr>
          <w:rFonts w:cstheme="minorHAnsi"/>
          <w:caps/>
          <w:sz w:val="24"/>
          <w:szCs w:val="24"/>
        </w:rPr>
        <w:t xml:space="preserve"> de setembro</w:t>
      </w:r>
      <w:r w:rsidR="00D00806" w:rsidRPr="00DD70D7">
        <w:rPr>
          <w:rFonts w:cstheme="minorHAnsi"/>
          <w:caps/>
          <w:sz w:val="24"/>
          <w:szCs w:val="24"/>
        </w:rPr>
        <w:t xml:space="preserve"> de 2019</w:t>
      </w:r>
      <w:r w:rsidR="004B3D37" w:rsidRPr="00DD70D7">
        <w:rPr>
          <w:rFonts w:cstheme="minorHAnsi"/>
          <w:caps/>
          <w:sz w:val="24"/>
          <w:szCs w:val="24"/>
        </w:rPr>
        <w:t>.</w:t>
      </w:r>
    </w:p>
    <w:p w:rsidR="00BA3DFA" w:rsidRPr="00DD70D7" w:rsidRDefault="00BA3DFA" w:rsidP="000B56FB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DD70D7" w:rsidRDefault="008C6CAF" w:rsidP="007B41F8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Dispõe sobre Abertura de Crédito Adicional Especial por Superávit Financeiro e dá outras providências</w:t>
      </w:r>
      <w:r w:rsidR="008D548C" w:rsidRPr="00DD70D7">
        <w:rPr>
          <w:rFonts w:cstheme="minorHAnsi"/>
          <w:sz w:val="24"/>
          <w:szCs w:val="24"/>
        </w:rPr>
        <w:t>.</w:t>
      </w:r>
    </w:p>
    <w:p w:rsidR="00BA3DFA" w:rsidRPr="00DD70D7" w:rsidRDefault="00BA3DFA" w:rsidP="000B56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DD70D7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O P</w:t>
      </w:r>
      <w:r w:rsidR="007B41F8" w:rsidRPr="00DD70D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DD70D7">
        <w:rPr>
          <w:rFonts w:cstheme="minorHAnsi"/>
          <w:sz w:val="24"/>
          <w:szCs w:val="24"/>
        </w:rPr>
        <w:t>no uso de suas atribuições legais;</w:t>
      </w:r>
    </w:p>
    <w:p w:rsidR="00DD70D7" w:rsidRPr="00DD70D7" w:rsidRDefault="004B3D37" w:rsidP="00DD70D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DD70D7" w:rsidRPr="00DD70D7" w:rsidRDefault="00DD70D7" w:rsidP="00DD70D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bCs/>
          <w:sz w:val="24"/>
          <w:szCs w:val="24"/>
        </w:rPr>
        <w:t xml:space="preserve">Art. 1º  </w:t>
      </w:r>
      <w:r w:rsidRPr="00DD70D7">
        <w:rPr>
          <w:rFonts w:cstheme="minorHAnsi"/>
          <w:sz w:val="24"/>
          <w:szCs w:val="24"/>
        </w:rPr>
        <w:t xml:space="preserve">Fica aberto ao Orçamento Geral do Município de Timbó Grande um Crédito Adicional Especial por conta do superávit financeiro no valor de </w:t>
      </w:r>
      <w:bookmarkStart w:id="0" w:name="OLE_LINK87"/>
      <w:bookmarkStart w:id="1" w:name="OLE_LINK86"/>
      <w:bookmarkStart w:id="2" w:name="OLE_LINK85"/>
      <w:r w:rsidRPr="00DD70D7">
        <w:rPr>
          <w:rFonts w:cstheme="minorHAnsi"/>
          <w:bCs/>
          <w:color w:val="000000"/>
          <w:sz w:val="24"/>
          <w:szCs w:val="24"/>
        </w:rPr>
        <w:t>R$ 1.022.142,58 (Um milhão vinte e dois mil, cento e quarenta e dois reais e cinquenta e oito centavos)</w:t>
      </w:r>
      <w:bookmarkEnd w:id="0"/>
      <w:bookmarkEnd w:id="1"/>
      <w:bookmarkEnd w:id="2"/>
      <w:r w:rsidRPr="00DD70D7">
        <w:rPr>
          <w:rFonts w:cstheme="minorHAnsi"/>
          <w:bCs/>
          <w:color w:val="000000"/>
          <w:sz w:val="24"/>
          <w:szCs w:val="24"/>
        </w:rPr>
        <w:t xml:space="preserve">, </w:t>
      </w:r>
      <w:r w:rsidRPr="00DD70D7">
        <w:rPr>
          <w:rFonts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756"/>
        <w:gridCol w:w="1942"/>
      </w:tblGrid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4 – Administração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 xml:space="preserve">122  - Administração Geral 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2 – ADMINISTRAÇÃO, PLANEJAMENTO E FINANÇAS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2.3 – Manutenção da Secretaria de Administração e Finanças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Despesa 358: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3.3.90.00.00 – Aplicações Diretas</w:t>
            </w:r>
          </w:p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Fonte de Recurso: 3.000 – Superávit Financeiro  Recursos Próprios </w:t>
            </w:r>
          </w:p>
        </w:tc>
        <w:tc>
          <w:tcPr>
            <w:tcW w:w="1956" w:type="dxa"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R$ 535.086,22</w:t>
            </w:r>
          </w:p>
        </w:tc>
      </w:tr>
      <w:tr w:rsidR="00DD70D7" w:rsidRPr="00DD70D7" w:rsidTr="00DD70D7">
        <w:trPr>
          <w:trHeight w:val="493"/>
        </w:trPr>
        <w:tc>
          <w:tcPr>
            <w:tcW w:w="9464" w:type="dxa"/>
            <w:gridSpan w:val="3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28 – Encargos Especiais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846  - Outros Encargos Especiais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0 – OPERAÇÕES ESPECIAIS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bCs/>
                <w:sz w:val="21"/>
                <w:szCs w:val="21"/>
              </w:rPr>
              <w:t>0.1 – Precatório e Sentenças Judiciais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Despesa 357: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3.3.90.00.00 – Aplicações Diretas</w:t>
            </w:r>
          </w:p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Fonte de Recurso: 3.000 – Superávit Financeiro Recursos Próprios</w:t>
            </w:r>
          </w:p>
        </w:tc>
        <w:tc>
          <w:tcPr>
            <w:tcW w:w="1956" w:type="dxa"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R$ 260.000,00</w:t>
            </w:r>
          </w:p>
        </w:tc>
      </w:tr>
    </w:tbl>
    <w:p w:rsidR="00DD70D7" w:rsidRPr="00DD70D7" w:rsidRDefault="00DD70D7" w:rsidP="00DD70D7">
      <w:pPr>
        <w:spacing w:before="120" w:after="120"/>
        <w:ind w:firstLine="851"/>
        <w:jc w:val="both"/>
        <w:rPr>
          <w:rFonts w:eastAsia="Times New Roman" w:cstheme="minorHAnsi"/>
          <w:sz w:val="21"/>
          <w:szCs w:val="21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757"/>
        <w:gridCol w:w="1942"/>
      </w:tblGrid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2004 – Secretaria de Agricultura e Desenvolvimento Rural 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20 – Agricultura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606 – Extensão Rural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2.21 – Manutenção da Secretaria da Agricultura e Desenvolvimento Rural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 w:rsidP="00F05439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lastRenderedPageBreak/>
              <w:t>Despesa 3</w:t>
            </w:r>
            <w:r w:rsidR="00F05439">
              <w:rPr>
                <w:rFonts w:cstheme="minorHAnsi"/>
                <w:sz w:val="21"/>
                <w:szCs w:val="21"/>
              </w:rPr>
              <w:t>50</w:t>
            </w:r>
            <w:bookmarkStart w:id="3" w:name="_GoBack"/>
            <w:bookmarkEnd w:id="3"/>
            <w:r w:rsidRPr="00DD70D7">
              <w:rPr>
                <w:rFonts w:cstheme="minorHAnsi"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</w:rPr>
            </w:pPr>
            <w:r w:rsidRPr="00DD70D7">
              <w:rPr>
                <w:rFonts w:cstheme="minorHAnsi"/>
              </w:rPr>
              <w:t>3.3.90.00.00 – Aplicações Diretas</w:t>
            </w:r>
          </w:p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Fonte de Recurso: </w:t>
            </w:r>
            <w:r w:rsidRPr="00DD70D7">
              <w:rPr>
                <w:rFonts w:cstheme="minorHAnsi"/>
              </w:rPr>
              <w:t>3034 – Superávit Exercício Anterior – Transferências de Convênios – União/Outros.</w:t>
            </w:r>
          </w:p>
        </w:tc>
        <w:tc>
          <w:tcPr>
            <w:tcW w:w="1956" w:type="dxa"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R$ 217.422,54</w:t>
            </w:r>
          </w:p>
        </w:tc>
      </w:tr>
      <w:tr w:rsidR="00DD70D7" w:rsidRPr="00DD70D7" w:rsidTr="00DD70D7">
        <w:tc>
          <w:tcPr>
            <w:tcW w:w="2689" w:type="dxa"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819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08 – Assistência Social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23 – ASSISTÊNCIA SOCIAL GERAL 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2.45 – Manutenção do PAIF</w:t>
            </w:r>
          </w:p>
        </w:tc>
        <w:tc>
          <w:tcPr>
            <w:tcW w:w="1956" w:type="dxa"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70D7" w:rsidRPr="00DD70D7" w:rsidTr="00DD70D7">
        <w:tc>
          <w:tcPr>
            <w:tcW w:w="2689" w:type="dxa"/>
            <w:hideMark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Despesa 324:    </w:t>
            </w:r>
          </w:p>
        </w:tc>
        <w:tc>
          <w:tcPr>
            <w:tcW w:w="4819" w:type="dxa"/>
            <w:hideMark/>
          </w:tcPr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3.3.90.00.00 – Aplicações Diretas</w:t>
            </w:r>
          </w:p>
          <w:p w:rsidR="00DD70D7" w:rsidRPr="00DD70D7" w:rsidRDefault="00DD70D7">
            <w:pPr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 xml:space="preserve">Fonte de Recurso: 3035 – Superávit Transferências  – SUAS/União FR 3035  </w:t>
            </w:r>
          </w:p>
        </w:tc>
        <w:tc>
          <w:tcPr>
            <w:tcW w:w="1956" w:type="dxa"/>
          </w:tcPr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DD70D7" w:rsidRPr="00DD70D7" w:rsidRDefault="00DD70D7">
            <w:pPr>
              <w:jc w:val="right"/>
              <w:rPr>
                <w:rFonts w:cstheme="minorHAnsi"/>
                <w:sz w:val="21"/>
                <w:szCs w:val="21"/>
              </w:rPr>
            </w:pPr>
            <w:r w:rsidRPr="00DD70D7">
              <w:rPr>
                <w:rFonts w:cstheme="minorHAnsi"/>
                <w:sz w:val="21"/>
                <w:szCs w:val="21"/>
              </w:rPr>
              <w:t>R$ 9.633,82</w:t>
            </w:r>
          </w:p>
        </w:tc>
      </w:tr>
    </w:tbl>
    <w:p w:rsidR="00DD70D7" w:rsidRDefault="00DD70D7" w:rsidP="00DD70D7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Art. </w:t>
      </w:r>
      <w:r w:rsidRPr="00DD70D7">
        <w:rPr>
          <w:rFonts w:cstheme="minorHAnsi"/>
          <w:color w:val="000000"/>
          <w:sz w:val="24"/>
          <w:szCs w:val="24"/>
        </w:rPr>
        <w:t xml:space="preserve">2º  </w:t>
      </w:r>
      <w:r w:rsidRPr="00DD70D7">
        <w:rPr>
          <w:rFonts w:cstheme="minorHAnsi"/>
          <w:sz w:val="24"/>
          <w:szCs w:val="24"/>
        </w:rPr>
        <w:t xml:space="preserve">O Crédito aberto por esta lei correrá, </w:t>
      </w:r>
      <w:r w:rsidRPr="00DD70D7">
        <w:rPr>
          <w:rFonts w:cstheme="minorHAnsi"/>
          <w:bCs/>
          <w:color w:val="000000"/>
          <w:sz w:val="24"/>
          <w:szCs w:val="24"/>
        </w:rPr>
        <w:t>por conta do superávit do exercício anterior.</w:t>
      </w:r>
    </w:p>
    <w:p w:rsidR="00DD70D7" w:rsidRPr="00DD70D7" w:rsidRDefault="00DD70D7" w:rsidP="00DD70D7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Art. </w:t>
      </w:r>
      <w:r w:rsidRPr="00DD70D7">
        <w:rPr>
          <w:rFonts w:cstheme="minorHAnsi"/>
          <w:color w:val="000000"/>
          <w:sz w:val="24"/>
          <w:szCs w:val="24"/>
        </w:rPr>
        <w:t xml:space="preserve">3º  </w:t>
      </w:r>
      <w:r w:rsidRPr="00DD70D7">
        <w:rPr>
          <w:rFonts w:cstheme="minorHAnsi"/>
          <w:sz w:val="24"/>
          <w:szCs w:val="24"/>
        </w:rPr>
        <w:t>Esta Lei entra em vigor na data de sua publicação, revogadas as disposições em contrário.</w:t>
      </w:r>
    </w:p>
    <w:p w:rsidR="004B3D37" w:rsidRPr="00DD70D7" w:rsidRDefault="00252448" w:rsidP="007B41F8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Timbó Grande, </w:t>
      </w:r>
      <w:r w:rsidR="001255E7" w:rsidRPr="00DD70D7">
        <w:rPr>
          <w:rFonts w:cstheme="minorHAnsi"/>
          <w:sz w:val="24"/>
          <w:szCs w:val="24"/>
        </w:rPr>
        <w:t>SC</w:t>
      </w:r>
      <w:r w:rsidR="00EE5AC6" w:rsidRPr="00DD70D7">
        <w:rPr>
          <w:rFonts w:cstheme="minorHAnsi"/>
          <w:sz w:val="24"/>
          <w:szCs w:val="24"/>
        </w:rPr>
        <w:t xml:space="preserve">, </w:t>
      </w:r>
      <w:r w:rsidR="007B41F8" w:rsidRPr="00DD70D7">
        <w:rPr>
          <w:rFonts w:cstheme="minorHAnsi"/>
          <w:sz w:val="24"/>
          <w:szCs w:val="24"/>
        </w:rPr>
        <w:t>2</w:t>
      </w:r>
      <w:r w:rsidR="007917F4" w:rsidRPr="00DD70D7">
        <w:rPr>
          <w:rFonts w:cstheme="minorHAnsi"/>
          <w:sz w:val="24"/>
          <w:szCs w:val="24"/>
        </w:rPr>
        <w:t>5</w:t>
      </w:r>
      <w:r w:rsidR="007B41F8" w:rsidRPr="00DD70D7">
        <w:rPr>
          <w:rFonts w:cstheme="minorHAnsi"/>
          <w:sz w:val="24"/>
          <w:szCs w:val="24"/>
        </w:rPr>
        <w:t xml:space="preserve"> de setembro</w:t>
      </w:r>
      <w:r w:rsidR="00F02ACE" w:rsidRPr="00DD70D7">
        <w:rPr>
          <w:rFonts w:cstheme="minorHAnsi"/>
          <w:sz w:val="24"/>
          <w:szCs w:val="24"/>
        </w:rPr>
        <w:t xml:space="preserve"> </w:t>
      </w:r>
      <w:r w:rsidR="00A51080" w:rsidRPr="00DD70D7">
        <w:rPr>
          <w:rFonts w:cstheme="minorHAnsi"/>
          <w:sz w:val="24"/>
          <w:szCs w:val="24"/>
        </w:rPr>
        <w:t>de 2019</w:t>
      </w:r>
      <w:r w:rsidR="004B3D37" w:rsidRPr="00DD70D7">
        <w:rPr>
          <w:rFonts w:cstheme="minorHAnsi"/>
          <w:sz w:val="24"/>
          <w:szCs w:val="24"/>
        </w:rPr>
        <w:t>.</w:t>
      </w:r>
    </w:p>
    <w:p w:rsidR="00124CED" w:rsidRPr="00DD70D7" w:rsidRDefault="00124CED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917F4" w:rsidRPr="00DD70D7" w:rsidRDefault="007917F4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B41F8" w:rsidRPr="00DD70D7" w:rsidRDefault="007B41F8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DD70D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Ari José Gales</w:t>
      </w:r>
      <w:r w:rsidR="004B3D37" w:rsidRPr="00DD70D7">
        <w:rPr>
          <w:rFonts w:cstheme="minorHAnsi"/>
          <w:sz w:val="24"/>
          <w:szCs w:val="24"/>
        </w:rPr>
        <w:t>ki</w:t>
      </w:r>
    </w:p>
    <w:p w:rsidR="008B52FE" w:rsidRPr="00DD70D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Prefeito Municipal</w:t>
      </w:r>
      <w:r w:rsidR="00BC4005" w:rsidRPr="00DD70D7">
        <w:rPr>
          <w:rFonts w:cstheme="minorHAnsi"/>
          <w:sz w:val="24"/>
          <w:szCs w:val="24"/>
        </w:rPr>
        <w:br/>
      </w:r>
    </w:p>
    <w:p w:rsidR="00C37EE2" w:rsidRPr="00DD70D7" w:rsidRDefault="008B52FE" w:rsidP="00C37EE2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Esta Lei foi publicada no Mural da Prefeitura Municipal de Timbó Grande, em </w:t>
      </w:r>
      <w:r w:rsidR="007B41F8" w:rsidRPr="00DD70D7">
        <w:rPr>
          <w:rFonts w:cstheme="minorHAnsi"/>
          <w:sz w:val="24"/>
          <w:szCs w:val="24"/>
        </w:rPr>
        <w:t>2</w:t>
      </w:r>
      <w:r w:rsidR="007917F4" w:rsidRPr="00DD70D7">
        <w:rPr>
          <w:rFonts w:cstheme="minorHAnsi"/>
          <w:sz w:val="24"/>
          <w:szCs w:val="24"/>
        </w:rPr>
        <w:t>5</w:t>
      </w:r>
      <w:r w:rsidR="0024313C" w:rsidRPr="00DD70D7">
        <w:rPr>
          <w:rFonts w:cstheme="minorHAnsi"/>
          <w:sz w:val="24"/>
          <w:szCs w:val="24"/>
        </w:rPr>
        <w:t xml:space="preserve"> de </w:t>
      </w:r>
      <w:r w:rsidR="007B41F8" w:rsidRPr="00DD70D7">
        <w:rPr>
          <w:rFonts w:cstheme="minorHAnsi"/>
          <w:sz w:val="24"/>
          <w:szCs w:val="24"/>
        </w:rPr>
        <w:t>setembro</w:t>
      </w:r>
      <w:r w:rsidR="00F02ACE" w:rsidRPr="00DD70D7">
        <w:rPr>
          <w:rFonts w:cstheme="minorHAnsi"/>
          <w:sz w:val="24"/>
          <w:szCs w:val="24"/>
        </w:rPr>
        <w:t xml:space="preserve"> </w:t>
      </w:r>
      <w:r w:rsidR="00A51080" w:rsidRPr="00DD70D7">
        <w:rPr>
          <w:rFonts w:cstheme="minorHAnsi"/>
          <w:sz w:val="24"/>
          <w:szCs w:val="24"/>
        </w:rPr>
        <w:t>de 2019</w:t>
      </w:r>
      <w:r w:rsidRPr="00DD70D7">
        <w:rPr>
          <w:rFonts w:cstheme="minorHAnsi"/>
          <w:sz w:val="24"/>
          <w:szCs w:val="24"/>
        </w:rPr>
        <w:t>.</w:t>
      </w:r>
    </w:p>
    <w:p w:rsidR="00B45B1E" w:rsidRPr="00DD70D7" w:rsidRDefault="00B45B1E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D548C" w:rsidRPr="00DD70D7" w:rsidRDefault="008D548C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917F4" w:rsidRPr="00DD70D7" w:rsidRDefault="007917F4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B41F8" w:rsidRPr="00DD70D7" w:rsidRDefault="007B41F8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B52FE" w:rsidRPr="00DD70D7" w:rsidRDefault="004B3D3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Evandro Carlos de Medeiros</w:t>
      </w:r>
      <w:r w:rsidRPr="00DD70D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DD70D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8D" w:rsidRDefault="00342F8D" w:rsidP="00E007F4">
      <w:pPr>
        <w:spacing w:after="0" w:line="240" w:lineRule="auto"/>
      </w:pPr>
      <w:r>
        <w:separator/>
      </w:r>
    </w:p>
  </w:endnote>
  <w:endnote w:type="continuationSeparator" w:id="0">
    <w:p w:rsidR="00342F8D" w:rsidRDefault="00342F8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8D" w:rsidRDefault="00342F8D" w:rsidP="00E007F4">
      <w:pPr>
        <w:spacing w:after="0" w:line="240" w:lineRule="auto"/>
      </w:pPr>
      <w:r>
        <w:separator/>
      </w:r>
    </w:p>
  </w:footnote>
  <w:footnote w:type="continuationSeparator" w:id="0">
    <w:p w:rsidR="00342F8D" w:rsidRDefault="00342F8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5439" w:rsidRPr="00F0543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05439" w:rsidRPr="00F0543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C605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DFD8D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38E5-3292-458D-8DE5-B738FBCB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2019-09-02T12:28:00Z</cp:lastPrinted>
  <dcterms:created xsi:type="dcterms:W3CDTF">2019-09-26T13:49:00Z</dcterms:created>
  <dcterms:modified xsi:type="dcterms:W3CDTF">2019-10-01T11:18:00Z</dcterms:modified>
</cp:coreProperties>
</file>