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820F09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820F09">
        <w:rPr>
          <w:rStyle w:val="Forte"/>
          <w:rFonts w:ascii="Arial" w:hAnsi="Arial" w:cs="Arial"/>
          <w:caps/>
          <w:sz w:val="21"/>
          <w:szCs w:val="21"/>
        </w:rPr>
        <w:t>6</w:t>
      </w:r>
      <w:r w:rsidR="0014618B">
        <w:rPr>
          <w:rStyle w:val="Forte"/>
          <w:rFonts w:ascii="Arial" w:hAnsi="Arial" w:cs="Arial"/>
          <w:caps/>
          <w:sz w:val="21"/>
          <w:szCs w:val="21"/>
        </w:rPr>
        <w:t>1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820F09">
        <w:rPr>
          <w:rStyle w:val="Forte"/>
          <w:rFonts w:ascii="Arial" w:hAnsi="Arial" w:cs="Arial"/>
          <w:caps/>
          <w:sz w:val="21"/>
          <w:szCs w:val="21"/>
        </w:rPr>
        <w:t>25 de junh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820F09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820F09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6B3FBD">
        <w:rPr>
          <w:rStyle w:val="Forte"/>
          <w:rFonts w:ascii="Arial" w:hAnsi="Arial" w:cs="Arial"/>
          <w:sz w:val="21"/>
          <w:szCs w:val="21"/>
        </w:rPr>
        <w:t>EXCESSO DE ARRECADAÇÃO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820F09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820F09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820F0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820F0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820F09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820F09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Pr="00820F09" w:rsidRDefault="00D00B4E" w:rsidP="00820F09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n</w:t>
      </w:r>
      <w:r w:rsidR="00820F09">
        <w:rPr>
          <w:rFonts w:ascii="Arial" w:hAnsi="Arial" w:cs="Arial"/>
          <w:sz w:val="22"/>
          <w:szCs w:val="22"/>
        </w:rPr>
        <w:t>a Secretaria de Agricultura e Desenvolvimento Rural u</w:t>
      </w:r>
      <w:r w:rsidR="00F70281" w:rsidRPr="00885E05">
        <w:rPr>
          <w:rFonts w:ascii="Arial" w:hAnsi="Arial" w:cs="Arial"/>
          <w:sz w:val="22"/>
          <w:szCs w:val="22"/>
        </w:rPr>
        <w:t>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</w:t>
      </w:r>
      <w:r w:rsidR="006B3FBD">
        <w:rPr>
          <w:rFonts w:ascii="Arial" w:hAnsi="Arial" w:cs="Arial"/>
          <w:sz w:val="21"/>
          <w:szCs w:val="21"/>
        </w:rPr>
        <w:t>de excesso de arrecadação</w:t>
      </w:r>
      <w:r w:rsidR="005D325F">
        <w:rPr>
          <w:rFonts w:ascii="Arial" w:hAnsi="Arial" w:cs="Arial"/>
          <w:sz w:val="21"/>
          <w:szCs w:val="21"/>
        </w:rPr>
        <w:t xml:space="preserve">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 xml:space="preserve">R$ </w:t>
      </w:r>
      <w:r w:rsidR="006B3FBD">
        <w:rPr>
          <w:rFonts w:ascii="Arial" w:hAnsi="Arial" w:cs="Arial"/>
          <w:bCs/>
          <w:color w:val="000000"/>
          <w:sz w:val="21"/>
          <w:szCs w:val="21"/>
        </w:rPr>
        <w:t>978,43</w:t>
      </w:r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="006B3FBD">
        <w:rPr>
          <w:rFonts w:ascii="Arial" w:hAnsi="Arial" w:cs="Arial"/>
          <w:bCs/>
          <w:color w:val="000000"/>
          <w:sz w:val="21"/>
          <w:szCs w:val="21"/>
        </w:rPr>
        <w:t>novecentos e setenta e oito reais e quarenta e três</w:t>
      </w:r>
      <w:r w:rsidR="00820F09">
        <w:rPr>
          <w:rFonts w:ascii="Arial" w:hAnsi="Arial" w:cs="Arial"/>
          <w:bCs/>
          <w:color w:val="000000"/>
          <w:sz w:val="21"/>
          <w:szCs w:val="21"/>
        </w:rPr>
        <w:t xml:space="preserve"> centavos</w:t>
      </w:r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 w:rsidRPr="00820F09">
        <w:rPr>
          <w:rFonts w:ascii="Arial" w:hAnsi="Arial" w:cs="Arial"/>
          <w:bCs/>
          <w:color w:val="000000"/>
          <w:sz w:val="21"/>
          <w:szCs w:val="21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2004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Secretaria de Agricultura e Desenvolvimento Rural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Agricultura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606 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Extensão Rural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0281" w:rsidRPr="00885E05" w:rsidRDefault="00820F09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Promoção Extensão Rural</w:t>
            </w:r>
          </w:p>
        </w:tc>
        <w:tc>
          <w:tcPr>
            <w:tcW w:w="1848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820F09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20F09" w:rsidRPr="00885E05" w:rsidRDefault="00820F09" w:rsidP="006B3F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028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70281"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 Secretaria de Agricultura e Desenvolvimento Rural</w:t>
            </w:r>
          </w:p>
        </w:tc>
        <w:tc>
          <w:tcPr>
            <w:tcW w:w="1848" w:type="dxa"/>
          </w:tcPr>
          <w:p w:rsidR="00820F09" w:rsidRDefault="00820F09" w:rsidP="00820F0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70281" w:rsidRPr="00885E05" w:rsidRDefault="00F70281" w:rsidP="00820F0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3FBD" w:rsidRPr="00885E05" w:rsidTr="00820F09">
        <w:tc>
          <w:tcPr>
            <w:tcW w:w="2689" w:type="dxa"/>
          </w:tcPr>
          <w:p w:rsidR="006B3FBD" w:rsidRPr="00885E05" w:rsidRDefault="006B3FBD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77:</w:t>
            </w:r>
          </w:p>
        </w:tc>
        <w:tc>
          <w:tcPr>
            <w:tcW w:w="4819" w:type="dxa"/>
          </w:tcPr>
          <w:p w:rsidR="006B3FBD" w:rsidRDefault="006B3FBD" w:rsidP="00820F0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3.3.90.00.00 – Aplicações Diretas</w:t>
            </w:r>
          </w:p>
          <w:p w:rsidR="006B3FBD" w:rsidRDefault="006B3FBD" w:rsidP="00FC4B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Fonte: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034 – Transferência de Convênios – União/Outros – 0.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.34</w:t>
            </w:r>
          </w:p>
        </w:tc>
        <w:tc>
          <w:tcPr>
            <w:tcW w:w="1848" w:type="dxa"/>
          </w:tcPr>
          <w:p w:rsidR="006B3FBD" w:rsidRDefault="006B3FBD" w:rsidP="006B3FBD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B3FBD" w:rsidRDefault="006B3FBD" w:rsidP="006B3FBD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B3FBD" w:rsidRDefault="006B3FBD" w:rsidP="006B3FBD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978,43</w:t>
            </w:r>
          </w:p>
        </w:tc>
      </w:tr>
    </w:tbl>
    <w:p w:rsidR="00281500" w:rsidRPr="005E268C" w:rsidRDefault="00B57E09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3F78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820F09">
        <w:rPr>
          <w:rFonts w:ascii="Arial" w:hAnsi="Arial" w:cs="Arial"/>
          <w:sz w:val="21"/>
          <w:szCs w:val="21"/>
        </w:rPr>
        <w:t>25 de junho</w:t>
      </w:r>
      <w:r w:rsidR="00C83292">
        <w:rPr>
          <w:rFonts w:ascii="Arial" w:hAnsi="Arial" w:cs="Arial"/>
          <w:sz w:val="21"/>
          <w:szCs w:val="21"/>
        </w:rPr>
        <w:t xml:space="preserve">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820F09" w:rsidRDefault="00820F0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820F09" w:rsidRDefault="00820F0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820F09">
        <w:rPr>
          <w:rFonts w:ascii="Arial" w:hAnsi="Arial" w:cs="Arial"/>
        </w:rPr>
        <w:t>25 de junho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AE0F26" w:rsidRDefault="00AE0F26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FC4B95" w:rsidRDefault="00FC4B95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  <w:bookmarkStart w:id="3" w:name="_GoBack"/>
      <w:bookmarkEnd w:id="3"/>
    </w:p>
    <w:p w:rsidR="00820F09" w:rsidRDefault="00820F09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90" w:rsidRDefault="008D5690" w:rsidP="00E007F4">
      <w:r>
        <w:separator/>
      </w:r>
    </w:p>
  </w:endnote>
  <w:endnote w:type="continuationSeparator" w:id="0">
    <w:p w:rsidR="008D5690" w:rsidRDefault="008D569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240C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90" w:rsidRDefault="008D5690" w:rsidP="00E007F4">
      <w:r>
        <w:separator/>
      </w:r>
    </w:p>
  </w:footnote>
  <w:footnote w:type="continuationSeparator" w:id="0">
    <w:p w:rsidR="008D5690" w:rsidRDefault="008D569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4B95" w:rsidRPr="00FC4B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4B95" w:rsidRPr="00FC4B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5BF5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618B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3F78C8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3FBD"/>
    <w:rsid w:val="006B636C"/>
    <w:rsid w:val="006D14A3"/>
    <w:rsid w:val="006D4F8A"/>
    <w:rsid w:val="006D7FC7"/>
    <w:rsid w:val="006E10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0F09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5690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36F12"/>
    <w:rsid w:val="009474A5"/>
    <w:rsid w:val="00955B9B"/>
    <w:rsid w:val="00970D5D"/>
    <w:rsid w:val="009710CB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0F26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4B95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EEDE9"/>
  <w15:docId w15:val="{E6CAFBEB-F99A-4784-BE1E-B2FD82C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E7E-B102-4D95-9DA9-70691C0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2019-06-25T18:10:00Z</cp:lastPrinted>
  <dcterms:created xsi:type="dcterms:W3CDTF">2019-06-25T17:58:00Z</dcterms:created>
  <dcterms:modified xsi:type="dcterms:W3CDTF">2019-06-25T18:49:00Z</dcterms:modified>
</cp:coreProperties>
</file>