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885E05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885E05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087275">
        <w:rPr>
          <w:rStyle w:val="Forte"/>
          <w:rFonts w:ascii="Arial" w:hAnsi="Arial" w:cs="Arial"/>
          <w:caps/>
          <w:sz w:val="22"/>
          <w:szCs w:val="22"/>
        </w:rPr>
        <w:t>115</w:t>
      </w:r>
      <w:r w:rsidRPr="00885E05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087275">
        <w:rPr>
          <w:rStyle w:val="Forte"/>
          <w:rFonts w:ascii="Arial" w:hAnsi="Arial" w:cs="Arial"/>
          <w:caps/>
          <w:sz w:val="22"/>
          <w:szCs w:val="22"/>
        </w:rPr>
        <w:t>11 de dezembro de 2018</w:t>
      </w:r>
      <w:r w:rsidRPr="00885E05">
        <w:rPr>
          <w:rStyle w:val="Forte"/>
          <w:rFonts w:ascii="Arial" w:hAnsi="Arial" w:cs="Arial"/>
          <w:caps/>
          <w:sz w:val="22"/>
          <w:szCs w:val="22"/>
        </w:rPr>
        <w:t>.</w:t>
      </w:r>
    </w:p>
    <w:p w:rsidR="00281500" w:rsidRPr="00885E0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1630E4" w:rsidRPr="00885E05" w:rsidRDefault="00885E05" w:rsidP="001630E4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885E05">
        <w:rPr>
          <w:rStyle w:val="Forte"/>
          <w:rFonts w:ascii="Arial" w:hAnsi="Arial" w:cs="Arial"/>
          <w:sz w:val="22"/>
          <w:szCs w:val="22"/>
        </w:rPr>
        <w:t>SUPLEMENTA RECURSOS POR EXCESSO DE ARRECADAÇÃO E DA OUTRAS PROVIDENCIAS</w:t>
      </w:r>
      <w:r w:rsidR="001630E4" w:rsidRPr="00885E05">
        <w:rPr>
          <w:rStyle w:val="Forte"/>
          <w:rFonts w:ascii="Arial" w:hAnsi="Arial" w:cs="Arial"/>
          <w:sz w:val="22"/>
          <w:szCs w:val="22"/>
        </w:rPr>
        <w:t>.</w:t>
      </w:r>
    </w:p>
    <w:p w:rsidR="00281500" w:rsidRPr="00885E0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885E0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885E05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885E05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885E05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85E05">
        <w:rPr>
          <w:rFonts w:ascii="Arial" w:hAnsi="Arial" w:cs="Arial"/>
          <w:b/>
          <w:sz w:val="22"/>
          <w:szCs w:val="22"/>
        </w:rPr>
        <w:t>CONSIDERANDO:</w:t>
      </w:r>
    </w:p>
    <w:p w:rsidR="00290454" w:rsidRPr="00885E05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85E05">
        <w:rPr>
          <w:rFonts w:ascii="Arial" w:hAnsi="Arial" w:cs="Arial"/>
        </w:rPr>
        <w:t xml:space="preserve">Que a suplementação dentro da mesma pasta, pode ser realizada através de Decreto, </w:t>
      </w:r>
      <w:r w:rsidR="00B75868" w:rsidRPr="00885E05">
        <w:rPr>
          <w:rFonts w:ascii="Arial" w:hAnsi="Arial" w:cs="Arial"/>
        </w:rPr>
        <w:t>de acordo com artigo 10º, § 3º da Lei 2097/2017, de 12 de dezembro de 2017</w:t>
      </w:r>
      <w:r w:rsidR="00885E05" w:rsidRPr="00885E05">
        <w:rPr>
          <w:rFonts w:ascii="Arial" w:hAnsi="Arial" w:cs="Arial"/>
        </w:rPr>
        <w:t>;</w:t>
      </w:r>
    </w:p>
    <w:p w:rsidR="00885E05" w:rsidRPr="00885E05" w:rsidRDefault="00885E05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85E05">
        <w:rPr>
          <w:rFonts w:ascii="Arial" w:hAnsi="Arial" w:cs="Arial"/>
        </w:rPr>
        <w:t>Que os recursos se encontram disponíveis;</w:t>
      </w:r>
    </w:p>
    <w:p w:rsidR="00B57E09" w:rsidRPr="00885E05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885E05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85E05">
        <w:rPr>
          <w:rFonts w:ascii="Arial" w:hAnsi="Arial" w:cs="Arial"/>
          <w:b/>
          <w:sz w:val="22"/>
          <w:szCs w:val="22"/>
        </w:rPr>
        <w:t>DECRETA:</w:t>
      </w:r>
    </w:p>
    <w:p w:rsidR="001630E4" w:rsidRPr="00885E05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bCs/>
          <w:sz w:val="22"/>
          <w:szCs w:val="22"/>
        </w:rPr>
        <w:t>Art. 1º</w:t>
      </w:r>
      <w:r w:rsidRPr="00885E05">
        <w:rPr>
          <w:rFonts w:ascii="Arial" w:hAnsi="Arial" w:cs="Arial"/>
          <w:sz w:val="22"/>
          <w:szCs w:val="22"/>
        </w:rPr>
        <w:t xml:space="preserve"> - </w:t>
      </w:r>
      <w:r w:rsidR="001630E4" w:rsidRPr="00885E05">
        <w:rPr>
          <w:rFonts w:ascii="Arial" w:hAnsi="Arial" w:cs="Arial"/>
          <w:sz w:val="22"/>
          <w:szCs w:val="22"/>
        </w:rPr>
        <w:t xml:space="preserve">Fica aberto ao Orçamento Geral do Município de Timbó Grande </w:t>
      </w:r>
      <w:r w:rsidR="001A7F8E" w:rsidRPr="00885E05">
        <w:rPr>
          <w:rFonts w:ascii="Arial" w:hAnsi="Arial" w:cs="Arial"/>
          <w:sz w:val="22"/>
          <w:szCs w:val="22"/>
        </w:rPr>
        <w:t xml:space="preserve">no Fundo </w:t>
      </w:r>
      <w:r w:rsidR="00087275">
        <w:rPr>
          <w:rFonts w:ascii="Arial" w:hAnsi="Arial" w:cs="Arial"/>
          <w:sz w:val="22"/>
          <w:szCs w:val="22"/>
        </w:rPr>
        <w:t>Previdenciário dos Servidores Públicos Municipais de Timbó Grande</w:t>
      </w:r>
      <w:r w:rsidR="001A7F8E" w:rsidRPr="00885E05">
        <w:rPr>
          <w:rFonts w:ascii="Arial" w:hAnsi="Arial" w:cs="Arial"/>
          <w:sz w:val="22"/>
          <w:szCs w:val="22"/>
        </w:rPr>
        <w:t xml:space="preserve"> </w:t>
      </w:r>
      <w:r w:rsidR="001630E4" w:rsidRPr="00885E05">
        <w:rPr>
          <w:rFonts w:ascii="Arial" w:hAnsi="Arial" w:cs="Arial"/>
          <w:sz w:val="22"/>
          <w:szCs w:val="22"/>
        </w:rPr>
        <w:t xml:space="preserve">um Crédito Adicional Suplementar </w:t>
      </w:r>
      <w:r w:rsidR="00885E05" w:rsidRPr="00885E05">
        <w:rPr>
          <w:rFonts w:ascii="Arial" w:hAnsi="Arial" w:cs="Arial"/>
          <w:sz w:val="22"/>
          <w:szCs w:val="22"/>
        </w:rPr>
        <w:t xml:space="preserve">por excesso de arrecadação </w:t>
      </w:r>
      <w:r w:rsidR="001630E4" w:rsidRPr="00885E05">
        <w:rPr>
          <w:rFonts w:ascii="Arial" w:hAnsi="Arial" w:cs="Arial"/>
          <w:sz w:val="22"/>
          <w:szCs w:val="22"/>
        </w:rPr>
        <w:t xml:space="preserve">no valor de </w:t>
      </w:r>
      <w:bookmarkStart w:id="0" w:name="OLE_LINK29"/>
      <w:bookmarkStart w:id="1" w:name="OLE_LINK30"/>
      <w:bookmarkStart w:id="2" w:name="OLE_LINK31"/>
      <w:r w:rsidR="001630E4" w:rsidRPr="00885E05">
        <w:rPr>
          <w:rFonts w:ascii="Arial" w:hAnsi="Arial" w:cs="Arial"/>
          <w:bCs/>
          <w:color w:val="000000"/>
          <w:sz w:val="22"/>
          <w:szCs w:val="22"/>
        </w:rPr>
        <w:t xml:space="preserve">R$ </w:t>
      </w:r>
      <w:r w:rsidR="00087275">
        <w:rPr>
          <w:rFonts w:ascii="Arial" w:hAnsi="Arial" w:cs="Arial"/>
          <w:bCs/>
          <w:color w:val="000000"/>
          <w:sz w:val="22"/>
          <w:szCs w:val="22"/>
        </w:rPr>
        <w:t>370</w:t>
      </w:r>
      <w:r w:rsidR="001630E4" w:rsidRPr="00885E05">
        <w:rPr>
          <w:rFonts w:ascii="Arial" w:hAnsi="Arial" w:cs="Arial"/>
          <w:bCs/>
          <w:color w:val="000000"/>
          <w:sz w:val="22"/>
          <w:szCs w:val="22"/>
        </w:rPr>
        <w:t>.000,00 (</w:t>
      </w:r>
      <w:r w:rsidR="00087275">
        <w:rPr>
          <w:rFonts w:ascii="Arial" w:hAnsi="Arial" w:cs="Arial"/>
          <w:bCs/>
          <w:color w:val="000000"/>
          <w:sz w:val="22"/>
          <w:szCs w:val="22"/>
        </w:rPr>
        <w:t>trezentos e setenta</w:t>
      </w:r>
      <w:r w:rsidR="001A7F8E" w:rsidRPr="00885E05">
        <w:rPr>
          <w:rFonts w:ascii="Arial" w:hAnsi="Arial" w:cs="Arial"/>
          <w:bCs/>
          <w:color w:val="000000"/>
          <w:sz w:val="22"/>
          <w:szCs w:val="22"/>
        </w:rPr>
        <w:t xml:space="preserve"> mil </w:t>
      </w:r>
      <w:r w:rsidR="001630E4" w:rsidRPr="00885E05">
        <w:rPr>
          <w:rFonts w:ascii="Arial" w:hAnsi="Arial" w:cs="Arial"/>
          <w:bCs/>
          <w:color w:val="000000"/>
          <w:sz w:val="22"/>
          <w:szCs w:val="22"/>
        </w:rPr>
        <w:t>reais)</w:t>
      </w:r>
      <w:bookmarkEnd w:id="0"/>
      <w:bookmarkEnd w:id="1"/>
      <w:bookmarkEnd w:id="2"/>
      <w:r w:rsidR="001630E4" w:rsidRPr="00885E05">
        <w:rPr>
          <w:rFonts w:ascii="Arial" w:hAnsi="Arial" w:cs="Arial"/>
          <w:sz w:val="22"/>
          <w:szCs w:val="22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13A1F" w:rsidRPr="00885E05" w:rsidTr="00771BF4">
        <w:tc>
          <w:tcPr>
            <w:tcW w:w="2689" w:type="dxa"/>
          </w:tcPr>
          <w:p w:rsidR="00513A1F" w:rsidRPr="00087275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513A1F" w:rsidRPr="00087275" w:rsidRDefault="00087275" w:rsidP="0008727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5</w:t>
            </w:r>
            <w:r w:rsidR="00513A1F" w:rsidRPr="00087275">
              <w:rPr>
                <w:rFonts w:ascii="Arial" w:hAnsi="Arial" w:cs="Arial"/>
                <w:sz w:val="21"/>
                <w:szCs w:val="21"/>
                <w:lang w:eastAsia="en-US"/>
              </w:rPr>
              <w:t>00</w:t>
            </w: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1</w:t>
            </w:r>
            <w:r w:rsidR="00513A1F" w:rsidRPr="0008727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– Fundo </w:t>
            </w: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 xml:space="preserve">Municipal de Previdência dos Servidores Públicos - </w:t>
            </w:r>
            <w:proofErr w:type="spellStart"/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Fumprev</w:t>
            </w:r>
            <w:proofErr w:type="spellEnd"/>
            <w:r w:rsidR="00513A1F" w:rsidRPr="0008727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513A1F" w:rsidRPr="00087275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13A1F" w:rsidRPr="00885E05" w:rsidTr="00771BF4">
        <w:tc>
          <w:tcPr>
            <w:tcW w:w="2689" w:type="dxa"/>
          </w:tcPr>
          <w:p w:rsidR="00513A1F" w:rsidRPr="00087275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13A1F" w:rsidRPr="00087275" w:rsidRDefault="00087275" w:rsidP="0008727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9</w:t>
            </w:r>
            <w:r w:rsidR="00513A1F" w:rsidRPr="0008727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– </w:t>
            </w: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Previdência Social</w:t>
            </w:r>
          </w:p>
        </w:tc>
        <w:tc>
          <w:tcPr>
            <w:tcW w:w="1723" w:type="dxa"/>
          </w:tcPr>
          <w:p w:rsidR="00513A1F" w:rsidRPr="00087275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13A1F" w:rsidRPr="00885E05" w:rsidTr="00771BF4">
        <w:tc>
          <w:tcPr>
            <w:tcW w:w="2689" w:type="dxa"/>
          </w:tcPr>
          <w:p w:rsidR="00513A1F" w:rsidRPr="00087275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13A1F" w:rsidRPr="00087275" w:rsidRDefault="00087275" w:rsidP="0008727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272</w:t>
            </w:r>
            <w:r w:rsidR="00513A1F" w:rsidRPr="0008727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– </w:t>
            </w: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Previdência do Regime Estatutário</w:t>
            </w:r>
          </w:p>
        </w:tc>
        <w:tc>
          <w:tcPr>
            <w:tcW w:w="1723" w:type="dxa"/>
          </w:tcPr>
          <w:p w:rsidR="00513A1F" w:rsidRPr="00087275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13A1F" w:rsidRPr="00885E05" w:rsidTr="00771BF4">
        <w:tc>
          <w:tcPr>
            <w:tcW w:w="2689" w:type="dxa"/>
          </w:tcPr>
          <w:p w:rsidR="00513A1F" w:rsidRPr="00087275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13A1F" w:rsidRPr="00087275" w:rsidRDefault="00513A1F" w:rsidP="0008727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2</w:t>
            </w:r>
            <w:r w:rsidR="00087275" w:rsidRPr="00087275">
              <w:rPr>
                <w:rFonts w:ascii="Arial" w:hAnsi="Arial" w:cs="Arial"/>
                <w:sz w:val="21"/>
                <w:szCs w:val="21"/>
                <w:lang w:eastAsia="en-US"/>
              </w:rPr>
              <w:t>4</w:t>
            </w: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– </w:t>
            </w:r>
            <w:r w:rsidR="00087275" w:rsidRPr="00087275">
              <w:rPr>
                <w:rFonts w:ascii="Arial" w:hAnsi="Arial" w:cs="Arial"/>
                <w:sz w:val="21"/>
                <w:szCs w:val="21"/>
                <w:lang w:eastAsia="en-US"/>
              </w:rPr>
              <w:t>Previdência do Regime Estatutário</w:t>
            </w:r>
          </w:p>
        </w:tc>
        <w:tc>
          <w:tcPr>
            <w:tcW w:w="1723" w:type="dxa"/>
          </w:tcPr>
          <w:p w:rsidR="00513A1F" w:rsidRPr="00087275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13A1F" w:rsidRPr="00885E05" w:rsidTr="00771BF4">
        <w:tc>
          <w:tcPr>
            <w:tcW w:w="2689" w:type="dxa"/>
          </w:tcPr>
          <w:p w:rsidR="00513A1F" w:rsidRPr="00087275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13A1F" w:rsidRPr="00087275" w:rsidRDefault="00087275" w:rsidP="0008727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6</w:t>
            </w:r>
            <w:r w:rsidR="00E15ED9" w:rsidRPr="00087275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2</w:t>
            </w:r>
            <w:r w:rsidR="00513A1F" w:rsidRPr="0008727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– </w:t>
            </w: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Pagamentos de Aposentadorias e Pensões</w:t>
            </w:r>
          </w:p>
        </w:tc>
        <w:tc>
          <w:tcPr>
            <w:tcW w:w="1723" w:type="dxa"/>
          </w:tcPr>
          <w:p w:rsidR="00513A1F" w:rsidRPr="00087275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13A1F" w:rsidRPr="00885E05" w:rsidTr="00771BF4">
        <w:tc>
          <w:tcPr>
            <w:tcW w:w="2689" w:type="dxa"/>
          </w:tcPr>
          <w:p w:rsidR="00513A1F" w:rsidRPr="00087275" w:rsidRDefault="00513A1F" w:rsidP="0008727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Despesa </w:t>
            </w:r>
            <w:r w:rsidR="00087275"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228</w:t>
            </w:r>
            <w:r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513A1F" w:rsidRPr="00087275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  <w:r w:rsidR="00087275" w:rsidRPr="00087275">
              <w:rPr>
                <w:rFonts w:ascii="Arial" w:hAnsi="Arial" w:cs="Arial"/>
                <w:sz w:val="21"/>
                <w:szCs w:val="21"/>
                <w:lang w:eastAsia="en-US"/>
              </w:rPr>
              <w:t>1</w:t>
            </w: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>.9</w:t>
            </w:r>
            <w:r w:rsidR="00885E05" w:rsidRPr="00087275">
              <w:rPr>
                <w:rFonts w:ascii="Arial" w:hAnsi="Arial" w:cs="Arial"/>
                <w:sz w:val="21"/>
                <w:szCs w:val="21"/>
                <w:lang w:eastAsia="en-US"/>
              </w:rPr>
              <w:t>0</w:t>
            </w: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 xml:space="preserve">.00.00 – Aplicações Diretas </w:t>
            </w:r>
          </w:p>
          <w:p w:rsidR="00513A1F" w:rsidRPr="00087275" w:rsidRDefault="00513A1F" w:rsidP="00087275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 xml:space="preserve">Fonte: </w:t>
            </w:r>
            <w:r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10</w:t>
            </w:r>
            <w:r w:rsidR="00087275"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03</w:t>
            </w:r>
            <w:r w:rsidRPr="0008727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–</w:t>
            </w:r>
            <w:r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Recursos Próprios</w:t>
            </w:r>
            <w:bookmarkStart w:id="3" w:name="_GoBack"/>
            <w:bookmarkEnd w:id="3"/>
          </w:p>
        </w:tc>
        <w:tc>
          <w:tcPr>
            <w:tcW w:w="1723" w:type="dxa"/>
          </w:tcPr>
          <w:p w:rsidR="00513A1F" w:rsidRPr="00087275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  <w:p w:rsidR="00513A1F" w:rsidRPr="00087275" w:rsidRDefault="00513A1F" w:rsidP="0008727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R$ </w:t>
            </w:r>
            <w:r w:rsidR="00087275"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37</w:t>
            </w:r>
            <w:r w:rsidR="009B7848"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0</w:t>
            </w:r>
            <w:r w:rsidRPr="0008727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.000,00</w:t>
            </w:r>
          </w:p>
        </w:tc>
      </w:tr>
    </w:tbl>
    <w:p w:rsidR="00281500" w:rsidRPr="00885E05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sz w:val="22"/>
          <w:szCs w:val="22"/>
        </w:rPr>
        <w:t xml:space="preserve">Art. </w:t>
      </w:r>
      <w:r w:rsidR="00885E05" w:rsidRPr="00885E05">
        <w:rPr>
          <w:rFonts w:ascii="Arial" w:hAnsi="Arial" w:cs="Arial"/>
          <w:sz w:val="22"/>
          <w:szCs w:val="22"/>
        </w:rPr>
        <w:t>2</w:t>
      </w:r>
      <w:r w:rsidRPr="00885E05">
        <w:rPr>
          <w:rFonts w:ascii="Arial" w:hAnsi="Arial" w:cs="Arial"/>
          <w:sz w:val="22"/>
          <w:szCs w:val="22"/>
        </w:rPr>
        <w:t xml:space="preserve">º - </w:t>
      </w:r>
      <w:r w:rsidR="00281500" w:rsidRPr="00885E05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885E0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885E0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sz w:val="22"/>
          <w:szCs w:val="22"/>
        </w:rPr>
        <w:t xml:space="preserve">Timbó Grande/SC, </w:t>
      </w:r>
      <w:r w:rsidR="00087275">
        <w:rPr>
          <w:rFonts w:ascii="Arial" w:hAnsi="Arial" w:cs="Arial"/>
          <w:sz w:val="22"/>
          <w:szCs w:val="22"/>
        </w:rPr>
        <w:t>11 de dezembro de 2018.</w:t>
      </w:r>
    </w:p>
    <w:p w:rsidR="00BF77D1" w:rsidRPr="00885E05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56E5F" w:rsidRPr="00885E05" w:rsidRDefault="00C56E5F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885E05" w:rsidRDefault="00BD7129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85E05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885E05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85E05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885E05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087275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87275">
        <w:rPr>
          <w:rFonts w:ascii="Arial" w:hAnsi="Arial" w:cs="Arial"/>
          <w:sz w:val="18"/>
          <w:szCs w:val="18"/>
        </w:rPr>
        <w:t>Este Decreto foi publicado no Mural da Prefeitura Municipal de Timbó Grande e</w:t>
      </w:r>
      <w:r w:rsidR="00087275" w:rsidRPr="00087275">
        <w:rPr>
          <w:rFonts w:ascii="Arial" w:hAnsi="Arial" w:cs="Arial"/>
          <w:sz w:val="18"/>
          <w:szCs w:val="18"/>
        </w:rPr>
        <w:t xml:space="preserve"> </w:t>
      </w:r>
      <w:r w:rsidRPr="00087275">
        <w:rPr>
          <w:rFonts w:ascii="Arial" w:hAnsi="Arial" w:cs="Arial"/>
          <w:sz w:val="18"/>
          <w:szCs w:val="18"/>
        </w:rPr>
        <w:t xml:space="preserve">m </w:t>
      </w:r>
      <w:r w:rsidR="00087275" w:rsidRPr="00087275">
        <w:rPr>
          <w:rFonts w:ascii="Arial" w:hAnsi="Arial" w:cs="Arial"/>
          <w:sz w:val="18"/>
          <w:szCs w:val="18"/>
        </w:rPr>
        <w:t>11</w:t>
      </w:r>
      <w:r w:rsidR="007867BC" w:rsidRPr="00087275">
        <w:rPr>
          <w:rFonts w:ascii="Arial" w:hAnsi="Arial" w:cs="Arial"/>
          <w:sz w:val="18"/>
          <w:szCs w:val="18"/>
        </w:rPr>
        <w:t xml:space="preserve"> </w:t>
      </w:r>
      <w:r w:rsidR="00087275" w:rsidRPr="00087275">
        <w:rPr>
          <w:rFonts w:ascii="Arial" w:hAnsi="Arial" w:cs="Arial"/>
          <w:sz w:val="18"/>
          <w:szCs w:val="18"/>
        </w:rPr>
        <w:t>de dezembro</w:t>
      </w:r>
      <w:r w:rsidR="00BD7129" w:rsidRPr="00087275">
        <w:rPr>
          <w:rFonts w:ascii="Arial" w:hAnsi="Arial" w:cs="Arial"/>
          <w:sz w:val="18"/>
          <w:szCs w:val="18"/>
        </w:rPr>
        <w:t xml:space="preserve"> </w:t>
      </w:r>
      <w:r w:rsidRPr="00087275">
        <w:rPr>
          <w:rFonts w:ascii="Arial" w:hAnsi="Arial" w:cs="Arial"/>
          <w:sz w:val="18"/>
          <w:szCs w:val="18"/>
        </w:rPr>
        <w:t>de 2018.</w:t>
      </w:r>
    </w:p>
    <w:p w:rsidR="0033127A" w:rsidRPr="00087275" w:rsidRDefault="0033127A">
      <w:pPr>
        <w:ind w:right="-2"/>
        <w:jc w:val="center"/>
        <w:rPr>
          <w:rFonts w:ascii="Arial" w:hAnsi="Arial" w:cs="Arial"/>
          <w:b/>
          <w:caps/>
          <w:sz w:val="18"/>
          <w:szCs w:val="18"/>
        </w:rPr>
      </w:pPr>
    </w:p>
    <w:p w:rsidR="00281500" w:rsidRPr="00885E05" w:rsidRDefault="00087275">
      <w:pPr>
        <w:ind w:right="-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JOSÉ CLAUDINEI HOFFMANN MARTIOL</w:t>
      </w:r>
      <w:r w:rsidR="00281500" w:rsidRPr="00885E05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885E0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3C" w:rsidRDefault="0061323C" w:rsidP="00E007F4">
      <w:r>
        <w:separator/>
      </w:r>
    </w:p>
  </w:endnote>
  <w:endnote w:type="continuationSeparator" w:id="0">
    <w:p w:rsidR="0061323C" w:rsidRDefault="0061323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C5856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3C" w:rsidRDefault="0061323C" w:rsidP="00E007F4">
      <w:r>
        <w:separator/>
      </w:r>
    </w:p>
  </w:footnote>
  <w:footnote w:type="continuationSeparator" w:id="0">
    <w:p w:rsidR="0061323C" w:rsidRDefault="0061323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7275" w:rsidRPr="0008727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87275" w:rsidRPr="0008727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543A4"/>
    <w:rsid w:val="000602B2"/>
    <w:rsid w:val="000621BE"/>
    <w:rsid w:val="0006662B"/>
    <w:rsid w:val="00070DC6"/>
    <w:rsid w:val="00071349"/>
    <w:rsid w:val="000743A3"/>
    <w:rsid w:val="00087275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00A0"/>
    <w:rsid w:val="000C2F1E"/>
    <w:rsid w:val="000D25E2"/>
    <w:rsid w:val="000D532A"/>
    <w:rsid w:val="000D7CEE"/>
    <w:rsid w:val="000E1124"/>
    <w:rsid w:val="000E14CF"/>
    <w:rsid w:val="000F1C7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30E4"/>
    <w:rsid w:val="00171C49"/>
    <w:rsid w:val="0018360C"/>
    <w:rsid w:val="00183C7E"/>
    <w:rsid w:val="0018544A"/>
    <w:rsid w:val="00186474"/>
    <w:rsid w:val="001A5676"/>
    <w:rsid w:val="001A6044"/>
    <w:rsid w:val="001A7F8E"/>
    <w:rsid w:val="001B0832"/>
    <w:rsid w:val="001C0537"/>
    <w:rsid w:val="001D54B1"/>
    <w:rsid w:val="001E243E"/>
    <w:rsid w:val="001E282F"/>
    <w:rsid w:val="001E33E3"/>
    <w:rsid w:val="001E42A4"/>
    <w:rsid w:val="001F43BC"/>
    <w:rsid w:val="001F7CCC"/>
    <w:rsid w:val="00207836"/>
    <w:rsid w:val="002135A0"/>
    <w:rsid w:val="002175CE"/>
    <w:rsid w:val="0022414E"/>
    <w:rsid w:val="00226EA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91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127A"/>
    <w:rsid w:val="00333FFD"/>
    <w:rsid w:val="00341D31"/>
    <w:rsid w:val="00342FEA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4FA8"/>
    <w:rsid w:val="003A6DA5"/>
    <w:rsid w:val="003B7237"/>
    <w:rsid w:val="003C20AB"/>
    <w:rsid w:val="003C4AB4"/>
    <w:rsid w:val="003C5532"/>
    <w:rsid w:val="003D274C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0ACC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1BD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3A1F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5AA4"/>
    <w:rsid w:val="005B3F83"/>
    <w:rsid w:val="005B4707"/>
    <w:rsid w:val="005B4B35"/>
    <w:rsid w:val="005B4E01"/>
    <w:rsid w:val="005C4E3E"/>
    <w:rsid w:val="005C7BB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23C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B95"/>
    <w:rsid w:val="00692FDD"/>
    <w:rsid w:val="006A39AB"/>
    <w:rsid w:val="006A6D93"/>
    <w:rsid w:val="006B02F0"/>
    <w:rsid w:val="006B1891"/>
    <w:rsid w:val="006B636C"/>
    <w:rsid w:val="006D14A3"/>
    <w:rsid w:val="006D4F8A"/>
    <w:rsid w:val="006D7099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1B6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5E05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7DE6"/>
    <w:rsid w:val="009965E9"/>
    <w:rsid w:val="00996F40"/>
    <w:rsid w:val="009A2D7F"/>
    <w:rsid w:val="009B27F6"/>
    <w:rsid w:val="009B652C"/>
    <w:rsid w:val="009B7848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0DC"/>
    <w:rsid w:val="00A158FE"/>
    <w:rsid w:val="00A20A33"/>
    <w:rsid w:val="00A223D1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2271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316A"/>
    <w:rsid w:val="00AE52C3"/>
    <w:rsid w:val="00AE58BD"/>
    <w:rsid w:val="00AF133C"/>
    <w:rsid w:val="00AF284E"/>
    <w:rsid w:val="00B00E18"/>
    <w:rsid w:val="00B06A49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B8B"/>
    <w:rsid w:val="00BA1BD1"/>
    <w:rsid w:val="00BA2B3E"/>
    <w:rsid w:val="00BA33A9"/>
    <w:rsid w:val="00BB11DC"/>
    <w:rsid w:val="00BB3BCF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9EC"/>
    <w:rsid w:val="00C4671A"/>
    <w:rsid w:val="00C56E5F"/>
    <w:rsid w:val="00C578F5"/>
    <w:rsid w:val="00C640BD"/>
    <w:rsid w:val="00C73515"/>
    <w:rsid w:val="00C76335"/>
    <w:rsid w:val="00C766C9"/>
    <w:rsid w:val="00C77493"/>
    <w:rsid w:val="00C8021B"/>
    <w:rsid w:val="00C82A83"/>
    <w:rsid w:val="00C85969"/>
    <w:rsid w:val="00C9626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57183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69E6"/>
    <w:rsid w:val="00DD7584"/>
    <w:rsid w:val="00DE0A24"/>
    <w:rsid w:val="00E007F4"/>
    <w:rsid w:val="00E03586"/>
    <w:rsid w:val="00E040C0"/>
    <w:rsid w:val="00E06AB1"/>
    <w:rsid w:val="00E10CA5"/>
    <w:rsid w:val="00E15ED9"/>
    <w:rsid w:val="00E268E0"/>
    <w:rsid w:val="00E27F53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5E2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A51AA"/>
    <w:rsid w:val="00FB1B35"/>
    <w:rsid w:val="00FB3B6E"/>
    <w:rsid w:val="00FB6CC9"/>
    <w:rsid w:val="00FC4747"/>
    <w:rsid w:val="00FC59ED"/>
    <w:rsid w:val="00FC724A"/>
    <w:rsid w:val="00FC7E01"/>
    <w:rsid w:val="00FD0A68"/>
    <w:rsid w:val="00FD4CDE"/>
    <w:rsid w:val="00FE21E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C2ADF"/>
  <w15:docId w15:val="{5155825F-2993-44A9-BC66-319A92D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5B21-EDFD-4547-9F92-631E522C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2018-10-10T16:38:00Z</cp:lastPrinted>
  <dcterms:created xsi:type="dcterms:W3CDTF">2018-12-11T13:34:00Z</dcterms:created>
  <dcterms:modified xsi:type="dcterms:W3CDTF">2018-12-11T13:41:00Z</dcterms:modified>
</cp:coreProperties>
</file>