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3"/>
          <w:szCs w:val="23"/>
        </w:rPr>
      </w:pPr>
      <w:r w:rsidRPr="00281500">
        <w:rPr>
          <w:rStyle w:val="Forte"/>
          <w:rFonts w:ascii="Arial" w:hAnsi="Arial" w:cs="Arial"/>
          <w:caps/>
          <w:sz w:val="23"/>
          <w:szCs w:val="23"/>
        </w:rPr>
        <w:t xml:space="preserve">Decreto nº </w:t>
      </w:r>
      <w:r w:rsidR="00290454">
        <w:rPr>
          <w:rStyle w:val="Forte"/>
          <w:rFonts w:ascii="Arial" w:hAnsi="Arial" w:cs="Arial"/>
          <w:caps/>
          <w:sz w:val="23"/>
          <w:szCs w:val="23"/>
        </w:rPr>
        <w:t>5</w:t>
      </w:r>
      <w:r w:rsidRPr="00281500">
        <w:rPr>
          <w:rStyle w:val="Forte"/>
          <w:rFonts w:ascii="Arial" w:hAnsi="Arial" w:cs="Arial"/>
          <w:caps/>
          <w:sz w:val="23"/>
          <w:szCs w:val="23"/>
        </w:rPr>
        <w:t>/2018, de 2 de janeiro de 2018.</w:t>
      </w:r>
    </w:p>
    <w:p w:rsidR="00281500" w:rsidRP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281500" w:rsidRPr="00281500" w:rsidRDefault="00290454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3"/>
          <w:szCs w:val="23"/>
        </w:rPr>
      </w:pPr>
      <w:r>
        <w:rPr>
          <w:rStyle w:val="Forte"/>
          <w:rFonts w:ascii="Arial" w:hAnsi="Arial" w:cs="Arial"/>
          <w:sz w:val="23"/>
          <w:szCs w:val="23"/>
        </w:rPr>
        <w:t xml:space="preserve">CONVOCA </w:t>
      </w:r>
      <w:r w:rsidR="00CC3D49">
        <w:rPr>
          <w:rStyle w:val="Forte"/>
          <w:rFonts w:ascii="Arial" w:hAnsi="Arial" w:cs="Arial"/>
          <w:sz w:val="23"/>
          <w:szCs w:val="23"/>
        </w:rPr>
        <w:t xml:space="preserve">OS </w:t>
      </w:r>
      <w:r>
        <w:rPr>
          <w:rStyle w:val="Forte"/>
          <w:rFonts w:ascii="Arial" w:hAnsi="Arial" w:cs="Arial"/>
          <w:sz w:val="23"/>
          <w:szCs w:val="23"/>
        </w:rPr>
        <w:t xml:space="preserve">FORNECEDORES DO MUNICÍPIO DE TIMBÓ GRANDE </w:t>
      </w:r>
      <w:r w:rsidR="00CC3D49">
        <w:rPr>
          <w:rStyle w:val="Forte"/>
          <w:rFonts w:ascii="Arial" w:hAnsi="Arial" w:cs="Arial"/>
          <w:sz w:val="23"/>
          <w:szCs w:val="23"/>
        </w:rPr>
        <w:t>PARA ATUALIZAÇÃO CADASTRAL</w:t>
      </w:r>
      <w:r w:rsidR="00281500" w:rsidRPr="00281500">
        <w:rPr>
          <w:rStyle w:val="Forte"/>
          <w:rFonts w:ascii="Arial" w:hAnsi="Arial" w:cs="Arial"/>
          <w:sz w:val="23"/>
          <w:szCs w:val="23"/>
        </w:rPr>
        <w:t xml:space="preserve"> E DA OUTRAS PROVIDENCIAS.</w:t>
      </w:r>
    </w:p>
    <w:p w:rsidR="00281500" w:rsidRPr="0028150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3"/>
          <w:szCs w:val="23"/>
        </w:rPr>
      </w:pPr>
    </w:p>
    <w:p w:rsidR="00B57E09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281500">
        <w:rPr>
          <w:rFonts w:ascii="Arial" w:hAnsi="Arial" w:cs="Arial"/>
          <w:sz w:val="23"/>
          <w:szCs w:val="23"/>
        </w:rPr>
        <w:t xml:space="preserve">, no uso de suas atribuições legais, conferidas pelo artigo 103, inciso VIII, da Lei Orgânica do Município, </w:t>
      </w:r>
    </w:p>
    <w:p w:rsidR="00290454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290454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CONSIDERANDO:</w:t>
      </w:r>
    </w:p>
    <w:p w:rsidR="00290454" w:rsidRDefault="00290454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 segundo levantamento efetuado pela Administração Municipal, é grande o número de fornecedores com seus cadastros desatualizados;</w:t>
      </w:r>
    </w:p>
    <w:p w:rsidR="00290454" w:rsidRDefault="00290454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Que o Tribunal de Contas do Estado – TCE flagrou e cobrou explicações do Poder Executivo Municipal, </w:t>
      </w:r>
      <w:r w:rsidR="00CC3D49">
        <w:rPr>
          <w:rFonts w:ascii="Arial" w:hAnsi="Arial" w:cs="Arial"/>
          <w:sz w:val="23"/>
          <w:szCs w:val="23"/>
        </w:rPr>
        <w:t>pel</w:t>
      </w:r>
      <w:r>
        <w:rPr>
          <w:rFonts w:ascii="Arial" w:hAnsi="Arial" w:cs="Arial"/>
          <w:sz w:val="23"/>
          <w:szCs w:val="23"/>
        </w:rPr>
        <w:t xml:space="preserve">o fato de empresas que se encontram com seus </w:t>
      </w:r>
      <w:proofErr w:type="spellStart"/>
      <w:r>
        <w:rPr>
          <w:rFonts w:ascii="Arial" w:hAnsi="Arial" w:cs="Arial"/>
          <w:sz w:val="23"/>
          <w:szCs w:val="23"/>
        </w:rPr>
        <w:t>CNP</w:t>
      </w:r>
      <w:r w:rsidR="00CC3D49">
        <w:rPr>
          <w:rFonts w:ascii="Arial" w:hAnsi="Arial" w:cs="Arial"/>
          <w:sz w:val="23"/>
          <w:szCs w:val="23"/>
        </w:rPr>
        <w:t>J’s</w:t>
      </w:r>
      <w:proofErr w:type="spellEnd"/>
      <w:r w:rsidR="00CC3D4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inativos na Receita Federal,</w:t>
      </w:r>
      <w:r w:rsidR="00CC3D49">
        <w:rPr>
          <w:rFonts w:ascii="Arial" w:hAnsi="Arial" w:cs="Arial"/>
          <w:sz w:val="23"/>
          <w:szCs w:val="23"/>
        </w:rPr>
        <w:t xml:space="preserve"> com histórico de empresas baixadas,</w:t>
      </w:r>
      <w:r>
        <w:rPr>
          <w:rFonts w:ascii="Arial" w:hAnsi="Arial" w:cs="Arial"/>
          <w:sz w:val="23"/>
          <w:szCs w:val="23"/>
        </w:rPr>
        <w:t xml:space="preserve"> terem prestado serviços ou efetuado vendas para o Município nos anos de 2017 e anteriores;</w:t>
      </w:r>
    </w:p>
    <w:p w:rsidR="00290454" w:rsidRPr="00290454" w:rsidRDefault="00290454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 a Administração Municipal entende que as informações levantadas pelo TCE embora verdadeiras, são fruto de desatualização cadastral, onde possivelmente, tenha havido alteração de razão social e outros dados dos fornecedores em tela</w:t>
      </w:r>
      <w:r w:rsidR="00580D66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p w:rsidR="00B57E09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DECRETA: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Style w:val="Forte"/>
          <w:b w:val="0"/>
          <w:sz w:val="23"/>
          <w:szCs w:val="23"/>
        </w:rPr>
      </w:pPr>
    </w:p>
    <w:p w:rsidR="00281500" w:rsidRDefault="00281500" w:rsidP="00D62117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3"/>
          <w:szCs w:val="23"/>
        </w:rPr>
      </w:pPr>
      <w:r w:rsidRPr="00281500">
        <w:rPr>
          <w:rStyle w:val="Forte"/>
          <w:rFonts w:ascii="Arial" w:hAnsi="Arial" w:cs="Arial"/>
          <w:b w:val="0"/>
          <w:sz w:val="23"/>
          <w:szCs w:val="23"/>
        </w:rPr>
        <w:t xml:space="preserve">Art. 1º - </w:t>
      </w:r>
      <w:r w:rsidR="00290454">
        <w:rPr>
          <w:rStyle w:val="Forte"/>
          <w:rFonts w:ascii="Arial" w:hAnsi="Arial" w:cs="Arial"/>
          <w:b w:val="0"/>
          <w:sz w:val="23"/>
          <w:szCs w:val="23"/>
        </w:rPr>
        <w:t>Ficam todos os fornecedores do Município de Timbó Grande, convocados a efetuarem a atualização cadastral de suas empresas, no setor de Compras e Licitações do Poder Executivo, no período compreendido entre 8 de janeiro de 2018 a 9 de fevereiro de 2018.</w:t>
      </w:r>
    </w:p>
    <w:p w:rsidR="0081640D" w:rsidRDefault="0081640D" w:rsidP="0081640D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Art. 2º - </w:t>
      </w:r>
      <w:r w:rsidR="006B1891">
        <w:rPr>
          <w:rFonts w:ascii="Arial" w:hAnsi="Arial" w:cs="Arial"/>
          <w:sz w:val="23"/>
          <w:szCs w:val="23"/>
        </w:rPr>
        <w:t>Fica determinado</w:t>
      </w:r>
      <w:r w:rsidR="001E282F">
        <w:rPr>
          <w:rFonts w:ascii="Arial" w:hAnsi="Arial" w:cs="Arial"/>
          <w:sz w:val="23"/>
          <w:szCs w:val="23"/>
        </w:rPr>
        <w:t xml:space="preserve"> aos setores de Compras e Licitações, Contabilidade e Tesouraria, que findo o prazo de atualização cadastral em 9 de fevereiro, não sejam e</w:t>
      </w:r>
      <w:r w:rsidR="006D7FC7">
        <w:rPr>
          <w:rFonts w:ascii="Arial" w:hAnsi="Arial" w:cs="Arial"/>
          <w:sz w:val="23"/>
          <w:szCs w:val="23"/>
        </w:rPr>
        <w:t>mitidas autorizações de fornecimento e, em hipótese alguma, pagamento para fornecedores que não tenham atendido a convocação para a atualização cadastral.</w:t>
      </w:r>
    </w:p>
    <w:p w:rsidR="006D7FC7" w:rsidRDefault="006D7FC7" w:rsidP="0081640D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 – A atualização cadastral e sua confirmação aos demais setores da Administração Municipal será feita pelo setor de Compras e Licitações.</w:t>
      </w:r>
    </w:p>
    <w:p w:rsidR="00281500" w:rsidRPr="00281500" w:rsidRDefault="00B57E09" w:rsidP="00281500">
      <w:pPr>
        <w:spacing w:before="120" w:after="120"/>
        <w:ind w:firstLine="851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Art. 5º - </w:t>
      </w:r>
      <w:r w:rsidR="00281500" w:rsidRPr="00281500">
        <w:rPr>
          <w:rFonts w:ascii="Arial" w:hAnsi="Arial" w:cs="Arial"/>
          <w:sz w:val="23"/>
          <w:szCs w:val="23"/>
        </w:rPr>
        <w:t>Este Decreto entra em vigor a partir da data de sua publicação, ficando revogadas as disposições em contrário.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Publique-se. Registre-se e cumpra-se.</w:t>
      </w:r>
    </w:p>
    <w:p w:rsidR="00281500" w:rsidRPr="0028150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281500">
        <w:rPr>
          <w:rFonts w:ascii="Arial" w:hAnsi="Arial" w:cs="Arial"/>
          <w:sz w:val="23"/>
          <w:szCs w:val="23"/>
        </w:rPr>
        <w:t>Timbó Grande/SC, 2 de janeiro de 2018.</w:t>
      </w:r>
    </w:p>
    <w:p w:rsidR="00281500" w:rsidRP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Pr="00281500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281500" w:rsidRPr="00281500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281500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281500" w:rsidRPr="00281500" w:rsidRDefault="00281500" w:rsidP="00281500">
      <w:pPr>
        <w:jc w:val="center"/>
        <w:rPr>
          <w:rFonts w:ascii="Arial" w:hAnsi="Arial" w:cs="Arial"/>
          <w:b/>
          <w:caps/>
          <w:sz w:val="23"/>
          <w:szCs w:val="23"/>
        </w:rPr>
      </w:pPr>
      <w:r w:rsidRPr="00281500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28150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Decreto foi publicado no Mural da Prefeitura Municipal de Timbó Grande em 2 de janeiro de 2018.</w:t>
      </w:r>
    </w:p>
    <w:p w:rsidR="00281500" w:rsidRDefault="00281500" w:rsidP="00281500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281500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  <w:t>Evandro Carlos de Medeiros</w:t>
      </w:r>
      <w:r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28150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F7" w:rsidRDefault="002379F7" w:rsidP="00E007F4">
      <w:r>
        <w:separator/>
      </w:r>
    </w:p>
  </w:endnote>
  <w:endnote w:type="continuationSeparator" w:id="0">
    <w:p w:rsidR="002379F7" w:rsidRDefault="002379F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F7" w:rsidRDefault="002379F7" w:rsidP="00E007F4">
      <w:r>
        <w:separator/>
      </w:r>
    </w:p>
  </w:footnote>
  <w:footnote w:type="continuationSeparator" w:id="0">
    <w:p w:rsidR="002379F7" w:rsidRDefault="002379F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0D66" w:rsidRPr="00580D6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80D66" w:rsidRPr="00580D6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021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0299-4C20-48E4-9399-747AD6BC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8</cp:revision>
  <cp:lastPrinted>2017-05-18T13:24:00Z</cp:lastPrinted>
  <dcterms:created xsi:type="dcterms:W3CDTF">2018-01-05T15:52:00Z</dcterms:created>
  <dcterms:modified xsi:type="dcterms:W3CDTF">2018-01-05T17:32:00Z</dcterms:modified>
</cp:coreProperties>
</file>