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BD6A38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9A3644">
        <w:rPr>
          <w:rFonts w:ascii="Arial" w:hAnsi="Arial" w:cs="Arial"/>
          <w:b/>
          <w:caps/>
          <w:sz w:val="24"/>
          <w:szCs w:val="24"/>
        </w:rPr>
        <w:t>43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="008F65BF" w:rsidRPr="00BD6A38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9A3644">
        <w:rPr>
          <w:rFonts w:ascii="Arial" w:hAnsi="Arial" w:cs="Arial"/>
          <w:b/>
          <w:caps/>
          <w:sz w:val="24"/>
          <w:szCs w:val="24"/>
        </w:rPr>
        <w:t>8</w:t>
      </w:r>
      <w:r w:rsidR="008F65BF" w:rsidRPr="00BD6A38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9A3644">
        <w:rPr>
          <w:rFonts w:ascii="Arial" w:hAnsi="Arial" w:cs="Arial"/>
          <w:b/>
          <w:caps/>
          <w:sz w:val="24"/>
          <w:szCs w:val="24"/>
        </w:rPr>
        <w:t xml:space="preserve">DEZEMBRO DE </w:t>
      </w:r>
      <w:r w:rsidR="008F65BF" w:rsidRPr="00BD6A38">
        <w:rPr>
          <w:rFonts w:ascii="Arial" w:hAnsi="Arial" w:cs="Arial"/>
          <w:b/>
          <w:caps/>
          <w:sz w:val="24"/>
          <w:szCs w:val="24"/>
        </w:rPr>
        <w:t>2017.</w:t>
      </w:r>
    </w:p>
    <w:p w:rsidR="008F65BF" w:rsidRPr="00513E75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513E75" w:rsidRDefault="00873A00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REGULAMENTA NUMERAÇÃO DA LEGISLAÇÃO MUNICIPAL E DÁ OUTRAS PROVIDÊNCIAS</w:t>
      </w:r>
      <w:r w:rsidR="008F65BF">
        <w:rPr>
          <w:rFonts w:ascii="Arial" w:hAnsi="Arial" w:cs="Arial"/>
          <w:b/>
          <w:sz w:val="24"/>
          <w:szCs w:val="24"/>
        </w:rPr>
        <w:t>.</w:t>
      </w:r>
    </w:p>
    <w:p w:rsidR="008F65BF" w:rsidRPr="00513E75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ab/>
      </w:r>
    </w:p>
    <w:p w:rsidR="008F65BF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E0A2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DE0A24">
        <w:rPr>
          <w:rFonts w:ascii="Arial" w:hAnsi="Arial" w:cs="Arial"/>
          <w:sz w:val="24"/>
          <w:szCs w:val="24"/>
        </w:rPr>
        <w:t>, no uso de suas atribuições legais</w:t>
      </w:r>
      <w:r>
        <w:rPr>
          <w:rFonts w:ascii="Arial" w:hAnsi="Arial" w:cs="Arial"/>
          <w:sz w:val="24"/>
          <w:szCs w:val="24"/>
        </w:rPr>
        <w:t>,</w:t>
      </w:r>
    </w:p>
    <w:p w:rsidR="008F65BF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>Considerando a necessidade de</w:t>
      </w:r>
      <w:r w:rsidR="003113C2">
        <w:rPr>
          <w:rFonts w:ascii="Arial" w:hAnsi="Arial" w:cs="Arial"/>
          <w:sz w:val="24"/>
          <w:szCs w:val="24"/>
        </w:rPr>
        <w:t xml:space="preserve"> regulamentar a numeração da legislação municipal, para que haja </w:t>
      </w:r>
      <w:r w:rsidR="00902D50">
        <w:rPr>
          <w:rFonts w:ascii="Arial" w:hAnsi="Arial" w:cs="Arial"/>
          <w:sz w:val="24"/>
          <w:szCs w:val="24"/>
        </w:rPr>
        <w:t xml:space="preserve">unidade, </w:t>
      </w:r>
      <w:r w:rsidR="003113C2">
        <w:rPr>
          <w:rFonts w:ascii="Arial" w:hAnsi="Arial" w:cs="Arial"/>
          <w:sz w:val="24"/>
          <w:szCs w:val="24"/>
        </w:rPr>
        <w:t>uniformidade</w:t>
      </w:r>
      <w:r w:rsidR="00902D50">
        <w:rPr>
          <w:rFonts w:ascii="Arial" w:hAnsi="Arial" w:cs="Arial"/>
          <w:sz w:val="24"/>
          <w:szCs w:val="24"/>
        </w:rPr>
        <w:t xml:space="preserve"> e</w:t>
      </w:r>
      <w:r w:rsidR="003113C2">
        <w:rPr>
          <w:rFonts w:ascii="Arial" w:hAnsi="Arial" w:cs="Arial"/>
          <w:sz w:val="24"/>
          <w:szCs w:val="24"/>
        </w:rPr>
        <w:t xml:space="preserve"> </w:t>
      </w:r>
      <w:r w:rsidR="00902D50">
        <w:rPr>
          <w:rFonts w:ascii="Arial" w:hAnsi="Arial" w:cs="Arial"/>
          <w:sz w:val="24"/>
          <w:szCs w:val="24"/>
        </w:rPr>
        <w:t>clareza</w:t>
      </w:r>
      <w:r>
        <w:rPr>
          <w:rFonts w:ascii="Arial" w:hAnsi="Arial" w:cs="Arial"/>
          <w:sz w:val="24"/>
          <w:szCs w:val="24"/>
        </w:rPr>
        <w:t>;</w:t>
      </w:r>
    </w:p>
    <w:p w:rsidR="00E929E6" w:rsidRDefault="00E929E6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02D50">
        <w:rPr>
          <w:rFonts w:ascii="Arial" w:hAnsi="Arial" w:cs="Arial"/>
          <w:sz w:val="24"/>
          <w:szCs w:val="24"/>
        </w:rPr>
        <w:t>a necessidade de facilitar a localização da legislação municipal</w:t>
      </w:r>
      <w:r w:rsidR="00C154A3">
        <w:rPr>
          <w:rFonts w:ascii="Arial" w:hAnsi="Arial" w:cs="Arial"/>
          <w:sz w:val="24"/>
          <w:szCs w:val="24"/>
        </w:rPr>
        <w:t>, por parte de servidores e munícipes</w:t>
      </w:r>
      <w:r>
        <w:rPr>
          <w:rFonts w:ascii="Arial" w:hAnsi="Arial" w:cs="Arial"/>
          <w:sz w:val="24"/>
          <w:szCs w:val="24"/>
        </w:rPr>
        <w:t>;</w:t>
      </w:r>
    </w:p>
    <w:p w:rsidR="008F65BF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154A3">
        <w:rPr>
          <w:rFonts w:ascii="Arial" w:hAnsi="Arial" w:cs="Arial"/>
          <w:sz w:val="24"/>
          <w:szCs w:val="24"/>
        </w:rPr>
        <w:t xml:space="preserve">ainda, </w:t>
      </w:r>
      <w:r>
        <w:rPr>
          <w:rFonts w:ascii="Arial" w:hAnsi="Arial" w:cs="Arial"/>
          <w:sz w:val="24"/>
          <w:szCs w:val="24"/>
        </w:rPr>
        <w:t xml:space="preserve">que </w:t>
      </w:r>
      <w:r w:rsidR="00C154A3">
        <w:rPr>
          <w:rFonts w:ascii="Arial" w:hAnsi="Arial" w:cs="Arial"/>
          <w:sz w:val="24"/>
          <w:szCs w:val="24"/>
        </w:rPr>
        <w:t>é atribuição do Poder Executivo, muito embora o Poder Legislativo Municipal também possa fazê-lo em relação tanto à legislação municipal quanto a sua legislação interna, cuidar da ordem numérica e guarda da legislação municipal</w:t>
      </w:r>
      <w:r w:rsidR="006A39AB">
        <w:rPr>
          <w:rFonts w:ascii="Arial" w:hAnsi="Arial" w:cs="Arial"/>
          <w:sz w:val="24"/>
          <w:szCs w:val="24"/>
        </w:rPr>
        <w:t>.</w:t>
      </w:r>
    </w:p>
    <w:p w:rsidR="008F65BF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8F65BF" w:rsidRDefault="008F65BF" w:rsidP="008F65B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F65BF">
        <w:rPr>
          <w:rFonts w:ascii="Arial" w:hAnsi="Arial" w:cs="Arial"/>
          <w:sz w:val="24"/>
          <w:szCs w:val="24"/>
        </w:rPr>
        <w:t>DECRETA:</w:t>
      </w:r>
    </w:p>
    <w:p w:rsidR="00B42F34" w:rsidRDefault="008F65BF" w:rsidP="003C5532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Art. 1º - </w:t>
      </w:r>
      <w:r w:rsidR="00B42F34">
        <w:rPr>
          <w:rFonts w:ascii="Arial" w:hAnsi="Arial" w:cs="Arial"/>
          <w:color w:val="000000" w:themeColor="text1"/>
          <w:sz w:val="24"/>
          <w:szCs w:val="24"/>
        </w:rPr>
        <w:t>Deverão ter numeração sequencial, independentemente de exercício</w:t>
      </w:r>
      <w:r w:rsidR="00077C04">
        <w:rPr>
          <w:rFonts w:ascii="Arial" w:hAnsi="Arial" w:cs="Arial"/>
          <w:color w:val="000000" w:themeColor="text1"/>
          <w:sz w:val="24"/>
          <w:szCs w:val="24"/>
        </w:rPr>
        <w:t xml:space="preserve"> anual</w:t>
      </w:r>
      <w:r w:rsidR="00B42F34">
        <w:rPr>
          <w:rFonts w:ascii="Arial" w:hAnsi="Arial" w:cs="Arial"/>
          <w:color w:val="000000" w:themeColor="text1"/>
          <w:sz w:val="24"/>
          <w:szCs w:val="24"/>
        </w:rPr>
        <w:t>, legislatura, sessão legislativa ou mandato, as seguintes leis:</w:t>
      </w:r>
    </w:p>
    <w:p w:rsidR="00B42F34" w:rsidRDefault="00B42F34" w:rsidP="00B42F34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Emendas à Lei Orgânica Municipal;</w:t>
      </w:r>
    </w:p>
    <w:p w:rsidR="00B42F34" w:rsidRDefault="00B42F34" w:rsidP="00B42F34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Leis Complementares;</w:t>
      </w:r>
    </w:p>
    <w:p w:rsidR="00B42F34" w:rsidRDefault="00B42F34" w:rsidP="00B42F34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Leis Ordinárias;</w:t>
      </w:r>
    </w:p>
    <w:p w:rsidR="00B42F34" w:rsidRDefault="00B42F34" w:rsidP="00B42F34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Leis Delegadas; </w:t>
      </w:r>
    </w:p>
    <w:p w:rsidR="006C182E" w:rsidRDefault="006C182E" w:rsidP="00B42F34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Decretos Executivos;</w:t>
      </w:r>
    </w:p>
    <w:p w:rsidR="008F65BF" w:rsidRPr="00B42F34" w:rsidRDefault="006C182E" w:rsidP="00B42F34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Decretos Legislativos.</w:t>
      </w:r>
    </w:p>
    <w:p w:rsidR="008F65BF" w:rsidRPr="004D060B" w:rsidRDefault="008F65BF" w:rsidP="008F65B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82E">
        <w:rPr>
          <w:rFonts w:ascii="Arial" w:hAnsi="Arial" w:cs="Arial"/>
          <w:color w:val="000000" w:themeColor="text1"/>
          <w:sz w:val="24"/>
          <w:szCs w:val="24"/>
        </w:rPr>
        <w:t xml:space="preserve">Primeiro 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77C04">
        <w:rPr>
          <w:rFonts w:ascii="Arial" w:hAnsi="Arial" w:cs="Arial"/>
          <w:color w:val="000000" w:themeColor="text1"/>
          <w:sz w:val="24"/>
          <w:szCs w:val="24"/>
        </w:rPr>
        <w:t xml:space="preserve">Os tipos de </w:t>
      </w:r>
      <w:r w:rsidR="004D060B">
        <w:rPr>
          <w:rFonts w:ascii="Arial" w:hAnsi="Arial" w:cs="Arial"/>
          <w:color w:val="000000" w:themeColor="text1"/>
          <w:sz w:val="24"/>
          <w:szCs w:val="24"/>
        </w:rPr>
        <w:t xml:space="preserve">leis elencadas no caput deste artigo devem ser </w:t>
      </w:r>
      <w:r w:rsidR="003305CA">
        <w:rPr>
          <w:rFonts w:ascii="Arial" w:hAnsi="Arial" w:cs="Arial"/>
          <w:color w:val="000000" w:themeColor="text1"/>
          <w:sz w:val="24"/>
          <w:szCs w:val="24"/>
        </w:rPr>
        <w:t>numerados</w:t>
      </w:r>
      <w:r w:rsidR="004D060B">
        <w:rPr>
          <w:rFonts w:ascii="Arial" w:hAnsi="Arial" w:cs="Arial"/>
          <w:color w:val="000000" w:themeColor="text1"/>
          <w:sz w:val="24"/>
          <w:szCs w:val="24"/>
        </w:rPr>
        <w:t xml:space="preserve"> dentro das seguintes normas: tipo da lei, número da lei, ano da lei, data de sanção e/ou promulgação da lei. Exemplo: 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>Lei Complementar 0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>7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>/201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>6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>, DE 04 DE ABRIL DE 201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6. </w:t>
      </w:r>
      <w:r w:rsidR="004D060B">
        <w:rPr>
          <w:rFonts w:ascii="Arial" w:hAnsi="Arial" w:cs="Arial"/>
          <w:color w:val="000000" w:themeColor="text1"/>
          <w:sz w:val="24"/>
          <w:szCs w:val="24"/>
        </w:rPr>
        <w:t xml:space="preserve">Se em março de 2017, foi aprovada outra lei complementar, esta deverá ter a seguinte numeração: 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>Lei Complementar 0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>8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>/201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>7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>, DE 0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>2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 DE </w:t>
      </w:r>
      <w:r w:rsidR="004D060B">
        <w:rPr>
          <w:rFonts w:ascii="Arial" w:hAnsi="Arial" w:cs="Arial"/>
          <w:caps/>
          <w:color w:val="000000" w:themeColor="text1"/>
          <w:sz w:val="24"/>
          <w:szCs w:val="24"/>
        </w:rPr>
        <w:t>março</w:t>
      </w:r>
      <w:r w:rsidR="004D060B" w:rsidRP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 DE 2017</w:t>
      </w:r>
      <w:r w:rsidR="00077C04">
        <w:rPr>
          <w:rFonts w:ascii="Arial" w:hAnsi="Arial" w:cs="Arial"/>
          <w:caps/>
          <w:color w:val="000000" w:themeColor="text1"/>
          <w:sz w:val="24"/>
          <w:szCs w:val="24"/>
        </w:rPr>
        <w:t>.</w:t>
      </w:r>
    </w:p>
    <w:p w:rsidR="008F65BF" w:rsidRDefault="008F65BF" w:rsidP="008F65B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Parágrafo </w:t>
      </w:r>
      <w:r w:rsidR="006C182E">
        <w:rPr>
          <w:rFonts w:ascii="Arial" w:hAnsi="Arial" w:cs="Arial"/>
          <w:color w:val="000000" w:themeColor="text1"/>
          <w:sz w:val="24"/>
          <w:szCs w:val="24"/>
        </w:rPr>
        <w:t>Segundo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4D060B">
        <w:rPr>
          <w:rFonts w:ascii="Arial" w:hAnsi="Arial" w:cs="Arial"/>
          <w:color w:val="000000" w:themeColor="text1"/>
          <w:sz w:val="24"/>
          <w:szCs w:val="24"/>
        </w:rPr>
        <w:t>No caso d</w:t>
      </w:r>
      <w:r w:rsidR="00077C04">
        <w:rPr>
          <w:rFonts w:ascii="Arial" w:hAnsi="Arial" w:cs="Arial"/>
          <w:color w:val="000000" w:themeColor="text1"/>
          <w:sz w:val="24"/>
          <w:szCs w:val="24"/>
        </w:rPr>
        <w:t>e o</w:t>
      </w:r>
      <w:r w:rsidR="004D060B">
        <w:rPr>
          <w:rFonts w:ascii="Arial" w:hAnsi="Arial" w:cs="Arial"/>
          <w:color w:val="000000" w:themeColor="text1"/>
          <w:sz w:val="24"/>
          <w:szCs w:val="24"/>
        </w:rPr>
        <w:t xml:space="preserve"> Poder Legislativo aprovar qualquer lei dentre as elencadas no caput deste artigo, deverá solicitar ao Poder Executivo a numeração que deverá utilizar, para que não haja duplicidade na numeração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060B" w:rsidRDefault="004D060B" w:rsidP="008F65B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2º - As resoluções, portarias, instruções normativas e outros tipos de documentos oficiais, bem como as correspondências em geral, devem ter a sua numeração</w:t>
      </w:r>
      <w:r w:rsidR="00077C04">
        <w:rPr>
          <w:rFonts w:ascii="Arial" w:hAnsi="Arial" w:cs="Arial"/>
          <w:color w:val="000000" w:themeColor="text1"/>
          <w:sz w:val="24"/>
          <w:szCs w:val="24"/>
        </w:rPr>
        <w:t xml:space="preserve"> sequencial dentro de cada exercício anual.</w:t>
      </w:r>
    </w:p>
    <w:p w:rsidR="00077C04" w:rsidRDefault="00077C04" w:rsidP="00077C04">
      <w:pPr>
        <w:spacing w:before="120" w:after="120"/>
        <w:ind w:firstLine="851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Parágrafo Único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Os tipos de leis elencadas no caput deste artigo, bem como os demais itens, deverão seguir o seguinte exemplo de numeração: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instrução normativa 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3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6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, DE 04 DE ABRIL DE 201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6.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em janeiro de 2017, foi aprovada editada outra instrução normativa, esta deverá ter a seguinte numeração: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instrução normativa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 0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1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7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, DE 0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5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janeiro 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DE 2017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.</w:t>
      </w:r>
    </w:p>
    <w:p w:rsidR="00077C04" w:rsidRDefault="00077C04" w:rsidP="00077C0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3</w:t>
      </w:r>
      <w:r w:rsidRPr="00513E7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De</w:t>
      </w:r>
      <w:r w:rsidR="00CC62DB">
        <w:rPr>
          <w:rFonts w:ascii="Arial" w:hAnsi="Arial" w:cs="Arial"/>
          <w:sz w:val="24"/>
          <w:szCs w:val="24"/>
        </w:rPr>
        <w:t xml:space="preserve">ve a </w:t>
      </w:r>
      <w:r>
        <w:rPr>
          <w:rFonts w:ascii="Arial" w:hAnsi="Arial" w:cs="Arial"/>
          <w:sz w:val="24"/>
          <w:szCs w:val="24"/>
        </w:rPr>
        <w:t xml:space="preserve">Secretaria de Administração e Finanças </w:t>
      </w:r>
      <w:r w:rsidR="00CC62DB">
        <w:rPr>
          <w:rFonts w:ascii="Arial" w:hAnsi="Arial" w:cs="Arial"/>
          <w:sz w:val="24"/>
          <w:szCs w:val="24"/>
        </w:rPr>
        <w:t xml:space="preserve">proceder a organização </w:t>
      </w:r>
      <w:r w:rsidR="00A1656A">
        <w:rPr>
          <w:rFonts w:ascii="Arial" w:hAnsi="Arial" w:cs="Arial"/>
          <w:sz w:val="24"/>
          <w:szCs w:val="24"/>
        </w:rPr>
        <w:t xml:space="preserve">da legislação, </w:t>
      </w:r>
      <w:r w:rsidR="00CC62DB">
        <w:rPr>
          <w:rFonts w:ascii="Arial" w:hAnsi="Arial" w:cs="Arial"/>
          <w:sz w:val="24"/>
          <w:szCs w:val="24"/>
        </w:rPr>
        <w:t xml:space="preserve">sendo que </w:t>
      </w:r>
      <w:r w:rsidR="00A1656A">
        <w:rPr>
          <w:rFonts w:ascii="Arial" w:hAnsi="Arial" w:cs="Arial"/>
          <w:sz w:val="24"/>
          <w:szCs w:val="24"/>
        </w:rPr>
        <w:t xml:space="preserve">à medida que forem sendo verificadas </w:t>
      </w:r>
      <w:r w:rsidR="00CC62DB">
        <w:rPr>
          <w:rFonts w:ascii="Arial" w:hAnsi="Arial" w:cs="Arial"/>
          <w:sz w:val="24"/>
          <w:szCs w:val="24"/>
        </w:rPr>
        <w:t>eventuais</w:t>
      </w:r>
      <w:r w:rsidR="00A1656A">
        <w:rPr>
          <w:rFonts w:ascii="Arial" w:hAnsi="Arial" w:cs="Arial"/>
          <w:sz w:val="24"/>
          <w:szCs w:val="24"/>
        </w:rPr>
        <w:t xml:space="preserve"> duplicidades, </w:t>
      </w:r>
      <w:r w:rsidR="00CC62DB">
        <w:rPr>
          <w:rFonts w:ascii="Arial" w:hAnsi="Arial" w:cs="Arial"/>
          <w:sz w:val="24"/>
          <w:szCs w:val="24"/>
        </w:rPr>
        <w:t xml:space="preserve">sejam as mesmas renumeradas </w:t>
      </w:r>
      <w:r w:rsidR="00A1656A">
        <w:rPr>
          <w:rFonts w:ascii="Arial" w:hAnsi="Arial" w:cs="Arial"/>
          <w:sz w:val="24"/>
          <w:szCs w:val="24"/>
        </w:rPr>
        <w:t>utilizando o princípio da anterioridade.</w:t>
      </w:r>
    </w:p>
    <w:p w:rsidR="00A1656A" w:rsidRPr="004D060B" w:rsidRDefault="00A1656A" w:rsidP="00A1656A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82E">
        <w:rPr>
          <w:rFonts w:ascii="Arial" w:hAnsi="Arial" w:cs="Arial"/>
          <w:color w:val="000000" w:themeColor="text1"/>
          <w:sz w:val="24"/>
          <w:szCs w:val="24"/>
        </w:rPr>
        <w:t xml:space="preserve">Primeiro 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Havendo duplicidade na numeração de leis e sendo impossível a renumeração pelo princípio da anterioridade, proceda-se a numeração</w:t>
      </w:r>
      <w:r w:rsidR="00CC62DB">
        <w:rPr>
          <w:rFonts w:ascii="Arial" w:hAnsi="Arial" w:cs="Arial"/>
          <w:color w:val="000000" w:themeColor="text1"/>
          <w:sz w:val="24"/>
          <w:szCs w:val="24"/>
        </w:rPr>
        <w:t xml:space="preserve"> numérica acrescida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ordem alfabética, logo após seu número, como no seguinte exemplo: 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Lei Complementar 0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1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6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, DE 04 DE ABRIL DE 201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6. </w:t>
      </w:r>
      <w:r>
        <w:rPr>
          <w:rFonts w:ascii="Arial" w:hAnsi="Arial" w:cs="Arial"/>
          <w:color w:val="000000" w:themeColor="text1"/>
          <w:sz w:val="24"/>
          <w:szCs w:val="24"/>
        </w:rPr>
        <w:t>Se em março de 2017, foi aprovada outra lei complementar e equivocadamente tem o me</w:t>
      </w:r>
      <w:r w:rsidR="00CC62DB">
        <w:rPr>
          <w:rFonts w:ascii="Arial" w:hAnsi="Arial" w:cs="Arial"/>
          <w:color w:val="000000" w:themeColor="text1"/>
          <w:sz w:val="24"/>
          <w:szCs w:val="24"/>
        </w:rPr>
        <w:t>sm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número, deve a mais recente ser renumerada como: 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Lei Complementar 0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1-A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/201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7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>, DE 0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2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março</w:t>
      </w:r>
      <w:r w:rsidRPr="004D060B">
        <w:rPr>
          <w:rFonts w:ascii="Arial" w:hAnsi="Arial" w:cs="Arial"/>
          <w:caps/>
          <w:color w:val="000000" w:themeColor="text1"/>
          <w:sz w:val="24"/>
          <w:szCs w:val="24"/>
        </w:rPr>
        <w:t xml:space="preserve"> DE 2017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.</w:t>
      </w:r>
    </w:p>
    <w:p w:rsidR="006C182E" w:rsidRDefault="00A1656A" w:rsidP="00A1656A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Parágrafo </w:t>
      </w:r>
      <w:r w:rsidR="006C182E">
        <w:rPr>
          <w:rFonts w:ascii="Arial" w:hAnsi="Arial" w:cs="Arial"/>
          <w:color w:val="000000" w:themeColor="text1"/>
          <w:sz w:val="24"/>
          <w:szCs w:val="24"/>
        </w:rPr>
        <w:t>Segundo - Em qualquer caso, tendo um Projeto de Lei sido aprovado e não sancionado</w:t>
      </w:r>
      <w:r w:rsidR="00555C10">
        <w:rPr>
          <w:rFonts w:ascii="Arial" w:hAnsi="Arial" w:cs="Arial"/>
          <w:color w:val="000000" w:themeColor="text1"/>
          <w:sz w:val="24"/>
          <w:szCs w:val="24"/>
        </w:rPr>
        <w:t xml:space="preserve"> (tido na jurisprudência nacional como sanção tácita), </w:t>
      </w:r>
      <w:r w:rsidR="006C182E">
        <w:rPr>
          <w:rFonts w:ascii="Arial" w:hAnsi="Arial" w:cs="Arial"/>
          <w:color w:val="000000" w:themeColor="text1"/>
          <w:sz w:val="24"/>
          <w:szCs w:val="24"/>
        </w:rPr>
        <w:t xml:space="preserve">entretanto teve seus efeitos </w:t>
      </w:r>
      <w:r w:rsidR="00555C10">
        <w:rPr>
          <w:rFonts w:ascii="Arial" w:hAnsi="Arial" w:cs="Arial"/>
          <w:color w:val="000000" w:themeColor="text1"/>
          <w:sz w:val="24"/>
          <w:szCs w:val="24"/>
        </w:rPr>
        <w:t>concretizados</w:t>
      </w:r>
      <w:r w:rsidR="006C182E">
        <w:rPr>
          <w:rFonts w:ascii="Arial" w:hAnsi="Arial" w:cs="Arial"/>
          <w:color w:val="000000" w:themeColor="text1"/>
          <w:sz w:val="24"/>
          <w:szCs w:val="24"/>
        </w:rPr>
        <w:t xml:space="preserve"> e sem ter causado prejuízos a quem quer que seja, deve o mesmo ser inserido na numeração na forma do parágrafo anterior, bem como publicado na forma da lei. </w:t>
      </w:r>
    </w:p>
    <w:p w:rsidR="00A1656A" w:rsidRPr="004D060B" w:rsidRDefault="006C182E" w:rsidP="00A1656A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Parágrafo Terceiro - </w:t>
      </w:r>
      <w:r w:rsidR="00A1656A">
        <w:rPr>
          <w:rFonts w:ascii="Arial" w:hAnsi="Arial" w:cs="Arial"/>
          <w:color w:val="000000" w:themeColor="text1"/>
          <w:sz w:val="24"/>
          <w:szCs w:val="24"/>
        </w:rPr>
        <w:t>Assim como existe a obrigatoriedade da publicação da legislação, em caso de renumeração, deve a mesma ser republicada na forma da Lei.</w:t>
      </w:r>
    </w:p>
    <w:p w:rsidR="00E929E6" w:rsidRDefault="00E929E6" w:rsidP="008F65B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 xml:space="preserve">Art. </w:t>
      </w:r>
      <w:r w:rsidR="00A1656A">
        <w:rPr>
          <w:rFonts w:ascii="Arial" w:hAnsi="Arial" w:cs="Arial"/>
          <w:sz w:val="24"/>
          <w:szCs w:val="24"/>
        </w:rPr>
        <w:t>4</w:t>
      </w:r>
      <w:r w:rsidRPr="00513E75">
        <w:rPr>
          <w:rFonts w:ascii="Arial" w:hAnsi="Arial" w:cs="Arial"/>
          <w:sz w:val="24"/>
          <w:szCs w:val="24"/>
        </w:rPr>
        <w:t xml:space="preserve">º - Este </w:t>
      </w:r>
      <w:r>
        <w:rPr>
          <w:rFonts w:ascii="Arial" w:hAnsi="Arial" w:cs="Arial"/>
          <w:sz w:val="24"/>
          <w:szCs w:val="24"/>
        </w:rPr>
        <w:t>Decreto</w:t>
      </w:r>
      <w:r w:rsidR="00A1656A">
        <w:rPr>
          <w:rFonts w:ascii="Arial" w:hAnsi="Arial" w:cs="Arial"/>
          <w:sz w:val="24"/>
          <w:szCs w:val="24"/>
        </w:rPr>
        <w:t xml:space="preserve"> entra em vigor na </w:t>
      </w:r>
      <w:r w:rsidRPr="00513E75">
        <w:rPr>
          <w:rFonts w:ascii="Arial" w:hAnsi="Arial" w:cs="Arial"/>
          <w:sz w:val="24"/>
          <w:szCs w:val="24"/>
        </w:rPr>
        <w:t>ata de sua publicação, revogadas as disposições em contrário</w:t>
      </w:r>
      <w:r w:rsidR="006C182E">
        <w:rPr>
          <w:rFonts w:ascii="Arial" w:hAnsi="Arial" w:cs="Arial"/>
          <w:sz w:val="24"/>
          <w:szCs w:val="24"/>
        </w:rPr>
        <w:t>, especialmente o Decreto 18/2017, de 3 de abril de 2017</w:t>
      </w:r>
      <w:r w:rsidRPr="00513E75">
        <w:rPr>
          <w:rFonts w:ascii="Arial" w:hAnsi="Arial" w:cs="Arial"/>
          <w:sz w:val="24"/>
          <w:szCs w:val="24"/>
        </w:rPr>
        <w:t>.</w:t>
      </w:r>
    </w:p>
    <w:p w:rsidR="00915E3E" w:rsidRDefault="008F65BF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513E75" w:rsidRDefault="006C182E" w:rsidP="00915E3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Grande/SC, 8</w:t>
      </w:r>
      <w:r w:rsidR="008F65BF" w:rsidRPr="00513E7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dezembro de </w:t>
      </w:r>
      <w:r w:rsidR="008F65BF" w:rsidRPr="00513E75">
        <w:rPr>
          <w:rFonts w:ascii="Arial" w:hAnsi="Arial" w:cs="Arial"/>
          <w:sz w:val="24"/>
          <w:szCs w:val="24"/>
        </w:rPr>
        <w:t>2017.</w:t>
      </w:r>
    </w:p>
    <w:p w:rsidR="008F65BF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513E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6C182E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C182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Pr="006C182E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C182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915E3E" w:rsidRDefault="00915E3E" w:rsidP="00915E3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182E" w:rsidRDefault="006C182E" w:rsidP="00915E3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6C182E" w:rsidRPr="006C182E" w:rsidRDefault="006C182E" w:rsidP="006C182E">
      <w:pPr>
        <w:spacing w:before="120" w:after="120"/>
        <w:ind w:right="-2"/>
        <w:jc w:val="both"/>
        <w:rPr>
          <w:rFonts w:ascii="Arial" w:hAnsi="Arial" w:cs="Arial"/>
          <w:b/>
          <w:sz w:val="20"/>
          <w:szCs w:val="20"/>
        </w:rPr>
      </w:pPr>
      <w:r w:rsidRPr="006C182E">
        <w:rPr>
          <w:rFonts w:ascii="Arial" w:hAnsi="Arial" w:cs="Arial"/>
          <w:sz w:val="20"/>
          <w:szCs w:val="20"/>
        </w:rPr>
        <w:t xml:space="preserve">Este Decreto foi publicado no Mural da Prefeitura Municipal de Timbó Grande em </w:t>
      </w:r>
      <w:r w:rsidRPr="006C182E">
        <w:rPr>
          <w:rFonts w:ascii="Arial" w:hAnsi="Arial" w:cs="Arial"/>
          <w:sz w:val="20"/>
          <w:szCs w:val="20"/>
        </w:rPr>
        <w:t>8</w:t>
      </w:r>
      <w:r w:rsidRPr="006C182E">
        <w:rPr>
          <w:rFonts w:ascii="Arial" w:hAnsi="Arial" w:cs="Arial"/>
          <w:sz w:val="20"/>
          <w:szCs w:val="20"/>
        </w:rPr>
        <w:t xml:space="preserve"> de </w:t>
      </w:r>
      <w:r w:rsidRPr="006C182E">
        <w:rPr>
          <w:rFonts w:ascii="Arial" w:hAnsi="Arial" w:cs="Arial"/>
          <w:sz w:val="20"/>
          <w:szCs w:val="20"/>
        </w:rPr>
        <w:t xml:space="preserve">dezembro </w:t>
      </w:r>
      <w:r w:rsidRPr="006C182E">
        <w:rPr>
          <w:rFonts w:ascii="Arial" w:hAnsi="Arial" w:cs="Arial"/>
          <w:sz w:val="20"/>
          <w:szCs w:val="20"/>
        </w:rPr>
        <w:t>de 2017.</w:t>
      </w:r>
    </w:p>
    <w:p w:rsidR="006C182E" w:rsidRPr="00906EFD" w:rsidRDefault="006C182E" w:rsidP="00915E3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15E3E" w:rsidRPr="00906EFD" w:rsidRDefault="00915E3E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E06AB1" w:rsidRDefault="00915E3E" w:rsidP="006C182E">
      <w:pPr>
        <w:ind w:right="-2"/>
        <w:jc w:val="center"/>
        <w:rPr>
          <w:rFonts w:ascii="Arial" w:hAnsi="Arial" w:cs="Arial"/>
        </w:rPr>
      </w:pPr>
      <w:r w:rsidRPr="006C182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6C182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bookmarkStart w:id="0" w:name="_GoBack"/>
      <w:bookmarkEnd w:id="0"/>
    </w:p>
    <w:sectPr w:rsidR="00E06A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9F" w:rsidRDefault="0047509F" w:rsidP="00E007F4">
      <w:pPr>
        <w:spacing w:after="0" w:line="240" w:lineRule="auto"/>
      </w:pPr>
      <w:r>
        <w:separator/>
      </w:r>
    </w:p>
  </w:endnote>
  <w:endnote w:type="continuationSeparator" w:id="0">
    <w:p w:rsidR="0047509F" w:rsidRDefault="0047509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9F" w:rsidRDefault="0047509F" w:rsidP="00E007F4">
      <w:pPr>
        <w:spacing w:after="0" w:line="240" w:lineRule="auto"/>
      </w:pPr>
      <w:r>
        <w:separator/>
      </w:r>
    </w:p>
  </w:footnote>
  <w:footnote w:type="continuationSeparator" w:id="0">
    <w:p w:rsidR="0047509F" w:rsidRDefault="0047509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7509F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5C10" w:rsidRPr="00555C1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55C10" w:rsidRPr="00555C1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42F72"/>
    <w:rsid w:val="000602B2"/>
    <w:rsid w:val="0006662B"/>
    <w:rsid w:val="000743A3"/>
    <w:rsid w:val="00077C04"/>
    <w:rsid w:val="00082B9C"/>
    <w:rsid w:val="00090B90"/>
    <w:rsid w:val="00091319"/>
    <w:rsid w:val="0009157A"/>
    <w:rsid w:val="00096DB4"/>
    <w:rsid w:val="00107EE6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5A0"/>
    <w:rsid w:val="0022414E"/>
    <w:rsid w:val="00230409"/>
    <w:rsid w:val="002307C3"/>
    <w:rsid w:val="00240115"/>
    <w:rsid w:val="0024366A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1D31"/>
    <w:rsid w:val="003532F6"/>
    <w:rsid w:val="00367354"/>
    <w:rsid w:val="00394AC3"/>
    <w:rsid w:val="003A1BE1"/>
    <w:rsid w:val="003C20AB"/>
    <w:rsid w:val="003C5532"/>
    <w:rsid w:val="003E0B70"/>
    <w:rsid w:val="00403706"/>
    <w:rsid w:val="00404732"/>
    <w:rsid w:val="00430A6D"/>
    <w:rsid w:val="00436F4F"/>
    <w:rsid w:val="00464616"/>
    <w:rsid w:val="00465B56"/>
    <w:rsid w:val="0047509F"/>
    <w:rsid w:val="004B7308"/>
    <w:rsid w:val="004D060B"/>
    <w:rsid w:val="005007F7"/>
    <w:rsid w:val="0050456A"/>
    <w:rsid w:val="00507102"/>
    <w:rsid w:val="00507C5A"/>
    <w:rsid w:val="00514343"/>
    <w:rsid w:val="0054785F"/>
    <w:rsid w:val="005535A8"/>
    <w:rsid w:val="00555C10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A39AB"/>
    <w:rsid w:val="006C182E"/>
    <w:rsid w:val="006D4F8A"/>
    <w:rsid w:val="007200D1"/>
    <w:rsid w:val="00725EF4"/>
    <w:rsid w:val="00727068"/>
    <w:rsid w:val="00742244"/>
    <w:rsid w:val="00742606"/>
    <w:rsid w:val="00752C2A"/>
    <w:rsid w:val="00753252"/>
    <w:rsid w:val="00776C65"/>
    <w:rsid w:val="007A306C"/>
    <w:rsid w:val="007B6086"/>
    <w:rsid w:val="007C32ED"/>
    <w:rsid w:val="007C6A88"/>
    <w:rsid w:val="007E53F8"/>
    <w:rsid w:val="00811718"/>
    <w:rsid w:val="00813B66"/>
    <w:rsid w:val="00816DC1"/>
    <w:rsid w:val="008218C8"/>
    <w:rsid w:val="00825364"/>
    <w:rsid w:val="00835C0F"/>
    <w:rsid w:val="0086546A"/>
    <w:rsid w:val="00873A00"/>
    <w:rsid w:val="00886BF2"/>
    <w:rsid w:val="00895A59"/>
    <w:rsid w:val="008A51E3"/>
    <w:rsid w:val="008B6BDF"/>
    <w:rsid w:val="008C6234"/>
    <w:rsid w:val="008D2A74"/>
    <w:rsid w:val="008E29D7"/>
    <w:rsid w:val="008F65BF"/>
    <w:rsid w:val="00902D50"/>
    <w:rsid w:val="00906EFD"/>
    <w:rsid w:val="00915E3E"/>
    <w:rsid w:val="009171BB"/>
    <w:rsid w:val="00927723"/>
    <w:rsid w:val="00931B92"/>
    <w:rsid w:val="009325A3"/>
    <w:rsid w:val="00955B9B"/>
    <w:rsid w:val="00970D5D"/>
    <w:rsid w:val="009710CB"/>
    <w:rsid w:val="009A2D7F"/>
    <w:rsid w:val="009A3644"/>
    <w:rsid w:val="009E157A"/>
    <w:rsid w:val="009E1D2D"/>
    <w:rsid w:val="009F19E4"/>
    <w:rsid w:val="00A1656A"/>
    <w:rsid w:val="00A20A33"/>
    <w:rsid w:val="00A42760"/>
    <w:rsid w:val="00A525BA"/>
    <w:rsid w:val="00A858A3"/>
    <w:rsid w:val="00AC2CEC"/>
    <w:rsid w:val="00AD0514"/>
    <w:rsid w:val="00AE58BD"/>
    <w:rsid w:val="00AF284E"/>
    <w:rsid w:val="00B00E18"/>
    <w:rsid w:val="00B27DD6"/>
    <w:rsid w:val="00B42F34"/>
    <w:rsid w:val="00B431DF"/>
    <w:rsid w:val="00BA2B3E"/>
    <w:rsid w:val="00BB11DC"/>
    <w:rsid w:val="00BD26D6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D14308"/>
    <w:rsid w:val="00D1443B"/>
    <w:rsid w:val="00D259D5"/>
    <w:rsid w:val="00D87EA7"/>
    <w:rsid w:val="00DB4978"/>
    <w:rsid w:val="00DC60DF"/>
    <w:rsid w:val="00DE0A24"/>
    <w:rsid w:val="00E007F4"/>
    <w:rsid w:val="00E06AB1"/>
    <w:rsid w:val="00E268E0"/>
    <w:rsid w:val="00E32FF3"/>
    <w:rsid w:val="00E42CD6"/>
    <w:rsid w:val="00E513E9"/>
    <w:rsid w:val="00E54B00"/>
    <w:rsid w:val="00E62E14"/>
    <w:rsid w:val="00E6687B"/>
    <w:rsid w:val="00E838DB"/>
    <w:rsid w:val="00E929E6"/>
    <w:rsid w:val="00E94A6F"/>
    <w:rsid w:val="00ED0E5E"/>
    <w:rsid w:val="00ED3F6E"/>
    <w:rsid w:val="00EE22CA"/>
    <w:rsid w:val="00F059B9"/>
    <w:rsid w:val="00F36EE9"/>
    <w:rsid w:val="00F47F76"/>
    <w:rsid w:val="00F614AB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552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630C-B5AC-427F-92BE-3221405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6</cp:revision>
  <cp:lastPrinted>2017-12-21T11:15:00Z</cp:lastPrinted>
  <dcterms:created xsi:type="dcterms:W3CDTF">2017-12-21T11:22:00Z</dcterms:created>
  <dcterms:modified xsi:type="dcterms:W3CDTF">2017-12-21T11:49:00Z</dcterms:modified>
</cp:coreProperties>
</file>