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D2B9E" w14:textId="77777777" w:rsidR="00466921" w:rsidRPr="00466921" w:rsidRDefault="00466921" w:rsidP="00697EB3">
      <w:pPr>
        <w:spacing w:after="130" w:line="240" w:lineRule="auto"/>
        <w:jc w:val="center"/>
        <w:rPr>
          <w:rFonts w:ascii="Aptos" w:hAnsi="Aptos"/>
          <w:b/>
          <w:bCs/>
          <w:noProof/>
          <w:sz w:val="24"/>
          <w:szCs w:val="24"/>
        </w:rPr>
      </w:pPr>
      <w:r w:rsidRPr="00A86B9E">
        <w:rPr>
          <w:rFonts w:ascii="Aptos" w:hAnsi="Aptos"/>
          <w:b/>
          <w:bCs/>
          <w:noProof/>
          <w:sz w:val="24"/>
          <w:szCs w:val="24"/>
        </w:rPr>
        <w:t>RETIFICAÇÃO Nº 01/2026</w:t>
      </w:r>
    </w:p>
    <w:p w14:paraId="7FEF056B" w14:textId="77777777" w:rsidR="00466921" w:rsidRPr="00466921" w:rsidRDefault="00466921" w:rsidP="00697EB3">
      <w:pPr>
        <w:spacing w:after="130" w:line="240" w:lineRule="auto"/>
        <w:jc w:val="center"/>
        <w:rPr>
          <w:rFonts w:ascii="Aptos" w:hAnsi="Aptos"/>
          <w:b/>
          <w:bCs/>
          <w:noProof/>
          <w:sz w:val="24"/>
          <w:szCs w:val="24"/>
        </w:rPr>
      </w:pPr>
      <w:r w:rsidRPr="00466921">
        <w:rPr>
          <w:rFonts w:ascii="Aptos" w:hAnsi="Aptos"/>
          <w:b/>
          <w:bCs/>
          <w:noProof/>
          <w:sz w:val="24"/>
          <w:szCs w:val="24"/>
        </w:rPr>
        <w:t>EDITAL DE CHAMAMENTO PÚBLICO Nº 04/2026 – PNAB</w:t>
      </w:r>
    </w:p>
    <w:p w14:paraId="0FAFD37C" w14:textId="77777777" w:rsidR="00466921" w:rsidRDefault="00466921" w:rsidP="00697EB3">
      <w:pPr>
        <w:spacing w:after="130" w:line="240" w:lineRule="auto"/>
        <w:jc w:val="center"/>
        <w:rPr>
          <w:rFonts w:ascii="Aptos" w:hAnsi="Aptos"/>
          <w:b/>
          <w:bCs/>
          <w:noProof/>
          <w:sz w:val="24"/>
          <w:szCs w:val="24"/>
        </w:rPr>
      </w:pPr>
      <w:r w:rsidRPr="00466921">
        <w:rPr>
          <w:rFonts w:ascii="Aptos" w:hAnsi="Aptos"/>
          <w:b/>
          <w:bCs/>
          <w:noProof/>
          <w:sz w:val="24"/>
          <w:szCs w:val="24"/>
        </w:rPr>
        <w:t>SELEÇÃO DE PROJETOS PARA FIRMAR TERMO DE EXECUÇÃO CULTURAL</w:t>
      </w:r>
    </w:p>
    <w:p w14:paraId="53D0AFF6" w14:textId="77777777" w:rsidR="006633B1" w:rsidRPr="00466921" w:rsidRDefault="006633B1" w:rsidP="00697EB3">
      <w:pPr>
        <w:spacing w:after="130" w:line="240" w:lineRule="auto"/>
        <w:jc w:val="center"/>
        <w:rPr>
          <w:rFonts w:ascii="Aptos" w:hAnsi="Aptos"/>
          <w:b/>
          <w:bCs/>
          <w:noProof/>
          <w:sz w:val="24"/>
          <w:szCs w:val="24"/>
        </w:rPr>
      </w:pPr>
    </w:p>
    <w:p w14:paraId="6750E807"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w:t>
      </w:r>
      <w:r w:rsidRPr="00466921">
        <w:rPr>
          <w:rFonts w:ascii="Aptos" w:hAnsi="Aptos"/>
          <w:b/>
          <w:bCs/>
          <w:noProof/>
          <w:sz w:val="24"/>
          <w:szCs w:val="24"/>
        </w:rPr>
        <w:t>MUNICÍPIO DE TIMBÓ GRANDE/SC</w:t>
      </w:r>
      <w:r w:rsidRPr="00466921">
        <w:rPr>
          <w:rFonts w:ascii="Aptos" w:hAnsi="Aptos"/>
          <w:noProof/>
          <w:sz w:val="24"/>
          <w:szCs w:val="24"/>
        </w:rPr>
        <w:t xml:space="preserve">, por intermédio da </w:t>
      </w:r>
      <w:r w:rsidRPr="00466921">
        <w:rPr>
          <w:rFonts w:ascii="Aptos" w:hAnsi="Aptos"/>
          <w:b/>
          <w:bCs/>
          <w:noProof/>
          <w:sz w:val="24"/>
          <w:szCs w:val="24"/>
        </w:rPr>
        <w:t>Secretaria Municipal de Cultura e Turismo</w:t>
      </w:r>
      <w:r w:rsidRPr="00466921">
        <w:rPr>
          <w:rFonts w:ascii="Aptos" w:hAnsi="Aptos"/>
          <w:noProof/>
          <w:sz w:val="24"/>
          <w:szCs w:val="24"/>
        </w:rPr>
        <w:t xml:space="preserve">, no uso de suas atribuições legais, considerando a necessidade de adequação do Edital de Chamamento Público nº 04/2026 – PNAB às disposições do regime jurídico próprio de fomento à cultura, especialmente à </w:t>
      </w:r>
      <w:r w:rsidRPr="00466921">
        <w:rPr>
          <w:rFonts w:ascii="Aptos" w:hAnsi="Aptos"/>
          <w:b/>
          <w:bCs/>
          <w:noProof/>
          <w:sz w:val="24"/>
          <w:szCs w:val="24"/>
        </w:rPr>
        <w:t>Lei Federal nº 14.903, de 27 de junho de 2024</w:t>
      </w:r>
      <w:r w:rsidRPr="00466921">
        <w:rPr>
          <w:rFonts w:ascii="Aptos" w:hAnsi="Aptos"/>
          <w:noProof/>
          <w:sz w:val="24"/>
          <w:szCs w:val="24"/>
        </w:rPr>
        <w:t xml:space="preserve">, ao </w:t>
      </w:r>
      <w:r w:rsidRPr="00466921">
        <w:rPr>
          <w:rFonts w:ascii="Aptos" w:hAnsi="Aptos"/>
          <w:b/>
          <w:bCs/>
          <w:noProof/>
          <w:sz w:val="24"/>
          <w:szCs w:val="24"/>
        </w:rPr>
        <w:t>Decreto Federal nº 11.453, de 23 de março de 2023</w:t>
      </w:r>
      <w:r w:rsidRPr="00466921">
        <w:rPr>
          <w:rFonts w:ascii="Aptos" w:hAnsi="Aptos"/>
          <w:noProof/>
          <w:sz w:val="24"/>
          <w:szCs w:val="24"/>
        </w:rPr>
        <w:t xml:space="preserve">, bem como aos entendimentos jurídicos emitidos pela Consultoria Jurídica do Ministério da Cultura – CONJUR/MinC/CGU/AGU, </w:t>
      </w:r>
      <w:r w:rsidRPr="00466921">
        <w:rPr>
          <w:rFonts w:ascii="Aptos" w:hAnsi="Aptos"/>
          <w:b/>
          <w:bCs/>
          <w:noProof/>
          <w:sz w:val="24"/>
          <w:szCs w:val="24"/>
        </w:rPr>
        <w:t>TORNA PÚBLICA a presente RETIFICAÇÃO</w:t>
      </w:r>
      <w:r w:rsidRPr="00466921">
        <w:rPr>
          <w:rFonts w:ascii="Aptos" w:hAnsi="Aptos"/>
          <w:noProof/>
          <w:sz w:val="24"/>
          <w:szCs w:val="24"/>
        </w:rPr>
        <w:t>, nos seguintes termos:</w:t>
      </w:r>
    </w:p>
    <w:p w14:paraId="1C0FFC54" w14:textId="77777777" w:rsidR="00A86B9E" w:rsidRDefault="00A86B9E" w:rsidP="00697EB3">
      <w:pPr>
        <w:spacing w:after="130" w:line="240" w:lineRule="auto"/>
        <w:jc w:val="both"/>
        <w:rPr>
          <w:rFonts w:ascii="Aptos" w:hAnsi="Aptos"/>
          <w:b/>
          <w:bCs/>
          <w:noProof/>
          <w:sz w:val="24"/>
          <w:szCs w:val="24"/>
        </w:rPr>
      </w:pPr>
    </w:p>
    <w:p w14:paraId="74AF2E04" w14:textId="2571DBF5"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1. DO OBJETO DA RETIFICAÇÃO</w:t>
      </w:r>
    </w:p>
    <w:p w14:paraId="7F8544F0"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 presente Retificação tem por objeto </w:t>
      </w:r>
      <w:r w:rsidRPr="00466921">
        <w:rPr>
          <w:rFonts w:ascii="Aptos" w:hAnsi="Aptos"/>
          <w:b/>
          <w:bCs/>
          <w:noProof/>
          <w:sz w:val="24"/>
          <w:szCs w:val="24"/>
        </w:rPr>
        <w:t>adequar a redação do Edital de Chamamento Público nº 04/2026 – PNAB quanto ao tratamento tributário dos recursos destinados aos agentes culturais contemplados</w:t>
      </w:r>
      <w:r w:rsidRPr="00466921">
        <w:rPr>
          <w:rFonts w:ascii="Aptos" w:hAnsi="Aptos"/>
          <w:noProof/>
          <w:sz w:val="24"/>
          <w:szCs w:val="24"/>
        </w:rPr>
        <w:t xml:space="preserve">, deixando expressamente esclarecida a natureza jurídica do repasse realizado mediante </w:t>
      </w:r>
      <w:r w:rsidRPr="00466921">
        <w:rPr>
          <w:rFonts w:ascii="Aptos" w:hAnsi="Aptos"/>
          <w:b/>
          <w:bCs/>
          <w:noProof/>
          <w:sz w:val="24"/>
          <w:szCs w:val="24"/>
        </w:rPr>
        <w:t>Termo de Execução Cultural – TEC</w:t>
      </w:r>
      <w:r w:rsidRPr="00466921">
        <w:rPr>
          <w:rFonts w:ascii="Aptos" w:hAnsi="Aptos"/>
          <w:noProof/>
          <w:sz w:val="24"/>
          <w:szCs w:val="24"/>
        </w:rPr>
        <w:t>.</w:t>
      </w:r>
    </w:p>
    <w:p w14:paraId="36B2A433"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A presente alteração não modifica o objeto do edital, as categorias culturais, os valores destinados a cada categoria, os critérios de seleção, os critérios de pontuação, as regras de cotas, os prazos ou quaisquer outras condições do processo seletivo.</w:t>
      </w:r>
    </w:p>
    <w:p w14:paraId="11C7F54C" w14:textId="77777777" w:rsidR="00A86B9E" w:rsidRDefault="00A86B9E" w:rsidP="00697EB3">
      <w:pPr>
        <w:spacing w:after="130" w:line="240" w:lineRule="auto"/>
        <w:jc w:val="both"/>
        <w:rPr>
          <w:rFonts w:ascii="Aptos" w:hAnsi="Aptos"/>
          <w:b/>
          <w:bCs/>
          <w:noProof/>
          <w:sz w:val="24"/>
          <w:szCs w:val="24"/>
        </w:rPr>
      </w:pPr>
    </w:p>
    <w:p w14:paraId="29DD1CC2" w14:textId="2C4FF071"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2. DA NATUREZA JURÍDICA DO FOMENTO CULTURAL</w:t>
      </w:r>
    </w:p>
    <w:p w14:paraId="22A50B21"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presente Edital está inserido no </w:t>
      </w:r>
      <w:r w:rsidRPr="00466921">
        <w:rPr>
          <w:rFonts w:ascii="Aptos" w:hAnsi="Aptos"/>
          <w:b/>
          <w:bCs/>
          <w:noProof/>
          <w:sz w:val="24"/>
          <w:szCs w:val="24"/>
        </w:rPr>
        <w:t>regime próprio de fomento à cultura</w:t>
      </w:r>
      <w:r w:rsidRPr="00466921">
        <w:rPr>
          <w:rFonts w:ascii="Aptos" w:hAnsi="Aptos"/>
          <w:noProof/>
          <w:sz w:val="24"/>
          <w:szCs w:val="24"/>
        </w:rPr>
        <w:t>, tendo como finalidade o apoio financeiro à execução de ações culturais.</w:t>
      </w:r>
    </w:p>
    <w:p w14:paraId="30A8C3DC"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 </w:t>
      </w:r>
      <w:r w:rsidRPr="00466921">
        <w:rPr>
          <w:rFonts w:ascii="Aptos" w:hAnsi="Aptos"/>
          <w:b/>
          <w:bCs/>
          <w:noProof/>
          <w:sz w:val="24"/>
          <w:szCs w:val="24"/>
        </w:rPr>
        <w:t>Lei Federal nº 14.903/2024</w:t>
      </w:r>
      <w:r w:rsidRPr="00466921">
        <w:rPr>
          <w:rFonts w:ascii="Aptos" w:hAnsi="Aptos"/>
          <w:noProof/>
          <w:sz w:val="24"/>
          <w:szCs w:val="24"/>
        </w:rPr>
        <w:t xml:space="preserve"> estabelece o marco regulatório do fomento à cultura no âmbito da Administração Pública da União, dos Estados, do Distrito Federal e dos Municípios.</w:t>
      </w:r>
    </w:p>
    <w:p w14:paraId="556EA4B7"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Nos termos do art. 2º da referida Lei, os Estados, o Distrito Federal e os Municípios podem executar políticas públicas de fomento cultural mediante os regimes jurídicos previstos na legislação, devendo o regime e o respectivo instrumento ser definidos no processo administrativo correspondente.</w:t>
      </w:r>
    </w:p>
    <w:p w14:paraId="10B1D980"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 4º do art. 2º estabelece que é </w:t>
      </w:r>
      <w:r w:rsidRPr="00466921">
        <w:rPr>
          <w:rFonts w:ascii="Aptos" w:hAnsi="Aptos"/>
          <w:b/>
          <w:bCs/>
          <w:noProof/>
          <w:sz w:val="24"/>
          <w:szCs w:val="24"/>
        </w:rPr>
        <w:t>vedada a aplicação da Lei nº 14.133/2021 aos instrumentos específicos do regime jurídico próprio de fomento à cultura</w:t>
      </w:r>
      <w:r w:rsidRPr="00466921">
        <w:rPr>
          <w:rFonts w:ascii="Aptos" w:hAnsi="Aptos"/>
          <w:noProof/>
          <w:sz w:val="24"/>
          <w:szCs w:val="24"/>
        </w:rPr>
        <w:t xml:space="preserve">. </w:t>
      </w:r>
    </w:p>
    <w:p w14:paraId="11F1AEE3"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lastRenderedPageBreak/>
        <w:t>O art. 4º da Lei nº 14.903/2024, por sua vez, estabelece como instrumentos de execução do regime próprio de fomento à cultura, quando houver repasse de recursos pela Administração Pública:</w:t>
      </w:r>
    </w:p>
    <w:p w14:paraId="7FCEF475" w14:textId="77777777" w:rsidR="00466921" w:rsidRPr="00466921" w:rsidRDefault="00466921" w:rsidP="00697EB3">
      <w:pPr>
        <w:spacing w:after="130" w:line="240" w:lineRule="auto"/>
        <w:rPr>
          <w:rFonts w:ascii="Aptos" w:hAnsi="Aptos"/>
          <w:noProof/>
          <w:sz w:val="24"/>
          <w:szCs w:val="24"/>
        </w:rPr>
      </w:pPr>
      <w:r w:rsidRPr="00466921">
        <w:rPr>
          <w:rFonts w:ascii="Aptos" w:hAnsi="Aptos"/>
          <w:b/>
          <w:bCs/>
          <w:noProof/>
          <w:sz w:val="24"/>
          <w:szCs w:val="24"/>
        </w:rPr>
        <w:t>I – Termo de Execução Cultural;</w:t>
      </w:r>
      <w:r w:rsidRPr="00466921">
        <w:rPr>
          <w:rFonts w:ascii="Aptos" w:hAnsi="Aptos"/>
          <w:b/>
          <w:bCs/>
          <w:noProof/>
          <w:sz w:val="24"/>
          <w:szCs w:val="24"/>
        </w:rPr>
        <w:br/>
        <w:t>II – Termo de Premiação Cultural;</w:t>
      </w:r>
      <w:r w:rsidRPr="00466921">
        <w:rPr>
          <w:rFonts w:ascii="Aptos" w:hAnsi="Aptos"/>
          <w:b/>
          <w:bCs/>
          <w:noProof/>
          <w:sz w:val="24"/>
          <w:szCs w:val="24"/>
        </w:rPr>
        <w:br/>
        <w:t>III – Termo de Bolsa Cultural.</w:t>
      </w:r>
    </w:p>
    <w:p w14:paraId="41851CF9"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No presente Edital, o instrumento utilizado é o </w:t>
      </w:r>
      <w:r w:rsidRPr="00466921">
        <w:rPr>
          <w:rFonts w:ascii="Aptos" w:hAnsi="Aptos"/>
          <w:b/>
          <w:bCs/>
          <w:noProof/>
          <w:sz w:val="24"/>
          <w:szCs w:val="24"/>
        </w:rPr>
        <w:t>Termo de Execução Cultural</w:t>
      </w:r>
      <w:r w:rsidRPr="00466921">
        <w:rPr>
          <w:rFonts w:ascii="Aptos" w:hAnsi="Aptos"/>
          <w:noProof/>
          <w:sz w:val="24"/>
          <w:szCs w:val="24"/>
        </w:rPr>
        <w:t xml:space="preserve">, destinado ao apoio financeiro para realização das ações culturais selecionadas. </w:t>
      </w:r>
    </w:p>
    <w:p w14:paraId="2AB548A9"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Dessa forma, o recurso recebido pelo agente cultural no âmbito deste Edital possui natureza de </w:t>
      </w:r>
      <w:r w:rsidRPr="00466921">
        <w:rPr>
          <w:rFonts w:ascii="Aptos" w:hAnsi="Aptos"/>
          <w:b/>
          <w:bCs/>
          <w:noProof/>
          <w:sz w:val="24"/>
          <w:szCs w:val="24"/>
        </w:rPr>
        <w:t>fomento cultural</w:t>
      </w:r>
      <w:r w:rsidRPr="00466921">
        <w:rPr>
          <w:rFonts w:ascii="Aptos" w:hAnsi="Aptos"/>
          <w:noProof/>
          <w:sz w:val="24"/>
          <w:szCs w:val="24"/>
        </w:rPr>
        <w:t>, não se confundindo, pelo simples fato do repasse, com pagamento decorrente de contrato administrativo de prestação de serviços.</w:t>
      </w:r>
    </w:p>
    <w:p w14:paraId="677F7123" w14:textId="77777777" w:rsidR="00A86B9E" w:rsidRDefault="00A86B9E" w:rsidP="00697EB3">
      <w:pPr>
        <w:spacing w:after="130" w:line="240" w:lineRule="auto"/>
        <w:jc w:val="both"/>
        <w:rPr>
          <w:rFonts w:ascii="Aptos" w:hAnsi="Aptos"/>
          <w:b/>
          <w:bCs/>
          <w:noProof/>
          <w:sz w:val="24"/>
          <w:szCs w:val="24"/>
        </w:rPr>
      </w:pPr>
    </w:p>
    <w:p w14:paraId="37902272" w14:textId="3F1A1AB5"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3. DA INEXISTÊNCIA DE PRESTAÇÃO DE SERVIÇO AO MUNICÍPIO PELO SIMPLES RECEBIMENTO DO FOMENTO</w:t>
      </w:r>
    </w:p>
    <w:p w14:paraId="2F86462F"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recebimento dos recursos pelo agente cultural mediante Termo de Execução Cultural </w:t>
      </w:r>
      <w:r w:rsidRPr="00466921">
        <w:rPr>
          <w:rFonts w:ascii="Aptos" w:hAnsi="Aptos"/>
          <w:b/>
          <w:bCs/>
          <w:noProof/>
          <w:sz w:val="24"/>
          <w:szCs w:val="24"/>
        </w:rPr>
        <w:t>não constitui, por si só, prestação de serviço ao Município de Timbó Grande</w:t>
      </w:r>
      <w:r w:rsidRPr="00466921">
        <w:rPr>
          <w:rFonts w:ascii="Aptos" w:hAnsi="Aptos"/>
          <w:noProof/>
          <w:sz w:val="24"/>
          <w:szCs w:val="24"/>
        </w:rPr>
        <w:t>.</w:t>
      </w:r>
    </w:p>
    <w:p w14:paraId="4D3F3996"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O agente cultural selecionado assume obrigações relacionadas à realização do projeto cultural aprovado, conforme o plano de trabalho e o Termo de Execução Cultural celebrado, dentro do regime próprio de fomento cultural.</w:t>
      </w:r>
    </w:p>
    <w:p w14:paraId="0D911865"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Assim, o simples repasse do recurso público:</w:t>
      </w:r>
    </w:p>
    <w:p w14:paraId="1261998F"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a)</w:t>
      </w:r>
      <w:r w:rsidRPr="00466921">
        <w:rPr>
          <w:rFonts w:ascii="Aptos" w:hAnsi="Aptos"/>
          <w:noProof/>
          <w:sz w:val="24"/>
          <w:szCs w:val="24"/>
        </w:rPr>
        <w:t xml:space="preserve"> não transforma o agente cultural em prestador de serviço do Município;</w:t>
      </w:r>
    </w:p>
    <w:p w14:paraId="454CC5A3"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b)</w:t>
      </w:r>
      <w:r w:rsidRPr="00466921">
        <w:rPr>
          <w:rFonts w:ascii="Aptos" w:hAnsi="Aptos"/>
          <w:noProof/>
          <w:sz w:val="24"/>
          <w:szCs w:val="24"/>
        </w:rPr>
        <w:t xml:space="preserve"> não caracteriza o recurso recebido como pagamento por serviço contratado pela Administração;</w:t>
      </w:r>
    </w:p>
    <w:p w14:paraId="2D46CB05"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c)</w:t>
      </w:r>
      <w:r w:rsidRPr="00466921">
        <w:rPr>
          <w:rFonts w:ascii="Aptos" w:hAnsi="Aptos"/>
          <w:noProof/>
          <w:sz w:val="24"/>
          <w:szCs w:val="24"/>
        </w:rPr>
        <w:t xml:space="preserve"> não constitui, por si só, contratação administrativa de serviço;</w:t>
      </w:r>
    </w:p>
    <w:p w14:paraId="0FE73944"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d)</w:t>
      </w:r>
      <w:r w:rsidRPr="00466921">
        <w:rPr>
          <w:rFonts w:ascii="Aptos" w:hAnsi="Aptos"/>
          <w:noProof/>
          <w:sz w:val="24"/>
          <w:szCs w:val="24"/>
        </w:rPr>
        <w:t xml:space="preserve"> não altera a natureza jurídica do instrumento de fomento cultural.</w:t>
      </w:r>
    </w:p>
    <w:p w14:paraId="348C8CE4"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 própria legislação estabelece regime jurídico específico para o fomento cultural, distinto do regime ordinário de contratações administrativas. </w:t>
      </w:r>
    </w:p>
    <w:p w14:paraId="4A11DB20" w14:textId="77777777" w:rsidR="00A86B9E" w:rsidRDefault="00A86B9E" w:rsidP="00697EB3">
      <w:pPr>
        <w:spacing w:after="130" w:line="240" w:lineRule="auto"/>
        <w:jc w:val="both"/>
        <w:rPr>
          <w:rFonts w:ascii="Aptos" w:hAnsi="Aptos"/>
          <w:b/>
          <w:bCs/>
          <w:noProof/>
          <w:sz w:val="24"/>
          <w:szCs w:val="24"/>
        </w:rPr>
      </w:pPr>
    </w:p>
    <w:p w14:paraId="6F85F1EB" w14:textId="1F242E53"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4. DO IMPOSTO DE RENDA SOBRE O REPASSE DO FOMENTO CULTURAL</w:t>
      </w:r>
    </w:p>
    <w:p w14:paraId="009EC840"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Fica expressamente estabelecido que </w:t>
      </w:r>
      <w:r w:rsidRPr="00466921">
        <w:rPr>
          <w:rFonts w:ascii="Aptos" w:hAnsi="Aptos"/>
          <w:b/>
          <w:bCs/>
          <w:noProof/>
          <w:sz w:val="24"/>
          <w:szCs w:val="24"/>
        </w:rPr>
        <w:t>não deverá haver retenção de Imposto de Renda na fonte sobre o simples repasse dos recursos de fomento cultural realizado mediante Termo de Execução Cultural</w:t>
      </w:r>
      <w:r w:rsidRPr="00466921">
        <w:rPr>
          <w:rFonts w:ascii="Aptos" w:hAnsi="Aptos"/>
          <w:noProof/>
          <w:sz w:val="24"/>
          <w:szCs w:val="24"/>
        </w:rPr>
        <w:t>.</w:t>
      </w:r>
    </w:p>
    <w:p w14:paraId="6674E6BC"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lastRenderedPageBreak/>
        <w:t xml:space="preserve">Esse entendimento encontra fundamento específico no </w:t>
      </w:r>
      <w:r w:rsidRPr="00466921">
        <w:rPr>
          <w:rFonts w:ascii="Aptos" w:hAnsi="Aptos"/>
          <w:b/>
          <w:bCs/>
          <w:noProof/>
          <w:sz w:val="24"/>
          <w:szCs w:val="24"/>
        </w:rPr>
        <w:t>Parecer nº 26/2025/CONJUR-MinC/CGU/AGU</w:t>
      </w:r>
      <w:r w:rsidRPr="00466921">
        <w:rPr>
          <w:rFonts w:ascii="Aptos" w:hAnsi="Aptos"/>
          <w:noProof/>
          <w:sz w:val="24"/>
          <w:szCs w:val="24"/>
        </w:rPr>
        <w:t>, cujo objeto foi justamente a incidência de Imposto de Renda sobre pagamentos de Termos de Execução Cultural.</w:t>
      </w:r>
    </w:p>
    <w:p w14:paraId="2DC4AFF0"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referido parecer concluiu pela </w:t>
      </w:r>
      <w:r w:rsidRPr="00466921">
        <w:rPr>
          <w:rFonts w:ascii="Aptos" w:hAnsi="Aptos"/>
          <w:b/>
          <w:bCs/>
          <w:noProof/>
          <w:sz w:val="24"/>
          <w:szCs w:val="24"/>
        </w:rPr>
        <w:t>não incidência do Imposto de Renda sobre os repasses caracterizados como fomento cultural</w:t>
      </w:r>
      <w:r w:rsidRPr="00466921">
        <w:rPr>
          <w:rFonts w:ascii="Aptos" w:hAnsi="Aptos"/>
          <w:noProof/>
          <w:sz w:val="24"/>
          <w:szCs w:val="24"/>
        </w:rPr>
        <w:t xml:space="preserve"> nas modalidades de execução de ações culturais e apoio a espaços culturais realizados mediante Termo de Execução Cultural.</w:t>
      </w:r>
    </w:p>
    <w:p w14:paraId="6D9E4FDE"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O parecer também conclui que esses repasses não são caracterizados, naquele momento, como renda ou acréscimo patrimonial, razão pela qual não deve haver retenção na fonte no simples repasse.</w:t>
      </w:r>
    </w:p>
    <w:p w14:paraId="6D6AF500"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entendimento jurídico também reconhece que eventual incidência tributária poderá ser analisada </w:t>
      </w:r>
      <w:r w:rsidRPr="00466921">
        <w:rPr>
          <w:rFonts w:ascii="Aptos" w:hAnsi="Aptos"/>
          <w:b/>
          <w:bCs/>
          <w:noProof/>
          <w:sz w:val="24"/>
          <w:szCs w:val="24"/>
        </w:rPr>
        <w:t>em momento posterior</w:t>
      </w:r>
      <w:r w:rsidRPr="00466921">
        <w:rPr>
          <w:rFonts w:ascii="Aptos" w:hAnsi="Aptos"/>
          <w:noProof/>
          <w:sz w:val="24"/>
          <w:szCs w:val="24"/>
        </w:rPr>
        <w:t xml:space="preserve">, conforme a destinação dada aos recursos pelo agente cultural. </w:t>
      </w:r>
    </w:p>
    <w:p w14:paraId="4D238F19" w14:textId="77777777" w:rsidR="00A86B9E" w:rsidRDefault="00A86B9E" w:rsidP="00697EB3">
      <w:pPr>
        <w:spacing w:after="130" w:line="240" w:lineRule="auto"/>
        <w:jc w:val="both"/>
        <w:rPr>
          <w:rFonts w:ascii="Aptos" w:hAnsi="Aptos"/>
          <w:b/>
          <w:bCs/>
          <w:noProof/>
          <w:sz w:val="24"/>
          <w:szCs w:val="24"/>
        </w:rPr>
      </w:pPr>
    </w:p>
    <w:p w14:paraId="07024124" w14:textId="2A104493"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5. DA APLICAÇÃO DO ENTENDIMENTO ÀS PESSOAS FÍSICAS E JURÍDICAS</w:t>
      </w:r>
    </w:p>
    <w:p w14:paraId="7C89C4E9"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O tratamento acima não deve ser limitado exclusivamente a agentes culturais pessoas físicas.</w:t>
      </w:r>
    </w:p>
    <w:p w14:paraId="4C541FBF"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w:t>
      </w:r>
      <w:r w:rsidRPr="00466921">
        <w:rPr>
          <w:rFonts w:ascii="Aptos" w:hAnsi="Aptos"/>
          <w:b/>
          <w:bCs/>
          <w:noProof/>
          <w:sz w:val="24"/>
          <w:szCs w:val="24"/>
        </w:rPr>
        <w:t>Parecer nº 166/2025/CONJUR-MinC/CGU/AGU</w:t>
      </w:r>
      <w:r w:rsidRPr="00466921">
        <w:rPr>
          <w:rFonts w:ascii="Aptos" w:hAnsi="Aptos"/>
          <w:noProof/>
          <w:sz w:val="24"/>
          <w:szCs w:val="24"/>
        </w:rPr>
        <w:t xml:space="preserve"> analisou especificamente a incidência de Imposto de Renda sobre recursos recebidos por </w:t>
      </w:r>
      <w:r w:rsidRPr="00466921">
        <w:rPr>
          <w:rFonts w:ascii="Aptos" w:hAnsi="Aptos"/>
          <w:b/>
          <w:bCs/>
          <w:noProof/>
          <w:sz w:val="24"/>
          <w:szCs w:val="24"/>
        </w:rPr>
        <w:t>pessoas físicas e pessoas jurídicas contempladas em editais de fomento à execução de ações culturais e apoio a espaços culturais</w:t>
      </w:r>
      <w:r w:rsidRPr="00466921">
        <w:rPr>
          <w:rFonts w:ascii="Aptos" w:hAnsi="Aptos"/>
          <w:noProof/>
          <w:sz w:val="24"/>
          <w:szCs w:val="24"/>
        </w:rPr>
        <w:t>, executados mediante Termo de Execução Cultural na forma da Lei nº 14.903/2024 e do Decreto nº 11.453/2023.</w:t>
      </w:r>
    </w:p>
    <w:p w14:paraId="5252BB07"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 conclusão registrada pelo Ministério da Cultura é pela </w:t>
      </w:r>
      <w:r w:rsidRPr="00466921">
        <w:rPr>
          <w:rFonts w:ascii="Aptos" w:hAnsi="Aptos"/>
          <w:b/>
          <w:bCs/>
          <w:noProof/>
          <w:sz w:val="24"/>
          <w:szCs w:val="24"/>
        </w:rPr>
        <w:t>não incidência do Imposto de Renda sobre o simples repasse ou captação de verbas públicas</w:t>
      </w:r>
      <w:r w:rsidRPr="00466921">
        <w:rPr>
          <w:rFonts w:ascii="Aptos" w:hAnsi="Aptos"/>
          <w:noProof/>
          <w:sz w:val="24"/>
          <w:szCs w:val="24"/>
        </w:rPr>
        <w:t xml:space="preserve">, ficando a análise da incidência tributária para momento posterior, conforme a utilização dos recursos ou sua eventual integração ao patrimônio do agente cultural. </w:t>
      </w:r>
    </w:p>
    <w:p w14:paraId="4ADDD0D0"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Assim, no âmbito deste Edital, </w:t>
      </w:r>
      <w:r w:rsidRPr="00466921">
        <w:rPr>
          <w:rFonts w:ascii="Aptos" w:hAnsi="Aptos"/>
          <w:b/>
          <w:bCs/>
          <w:noProof/>
          <w:sz w:val="24"/>
          <w:szCs w:val="24"/>
        </w:rPr>
        <w:t>não deverá ser efetuada retenção de Imposto de Renda sobre o simples valor repassado ao agente cultural mediante Termo de Execução Cultural</w:t>
      </w:r>
      <w:r w:rsidRPr="00466921">
        <w:rPr>
          <w:rFonts w:ascii="Aptos" w:hAnsi="Aptos"/>
          <w:noProof/>
          <w:sz w:val="24"/>
          <w:szCs w:val="24"/>
        </w:rPr>
        <w:t>.</w:t>
      </w:r>
    </w:p>
    <w:p w14:paraId="68A79584" w14:textId="77777777" w:rsidR="00A86B9E" w:rsidRDefault="00A86B9E" w:rsidP="00697EB3">
      <w:pPr>
        <w:spacing w:after="130" w:line="240" w:lineRule="auto"/>
        <w:jc w:val="both"/>
        <w:rPr>
          <w:rFonts w:ascii="Aptos" w:hAnsi="Aptos"/>
          <w:b/>
          <w:bCs/>
          <w:noProof/>
          <w:sz w:val="24"/>
          <w:szCs w:val="24"/>
        </w:rPr>
      </w:pPr>
    </w:p>
    <w:p w14:paraId="3BE1357D" w14:textId="683587CC"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6. DA EVENTUAL TRIBUTAÇÃO POSTERIOR</w:t>
      </w:r>
    </w:p>
    <w:p w14:paraId="49CDDA25"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 presente Retificação </w:t>
      </w:r>
      <w:r w:rsidRPr="00466921">
        <w:rPr>
          <w:rFonts w:ascii="Aptos" w:hAnsi="Aptos"/>
          <w:b/>
          <w:bCs/>
          <w:noProof/>
          <w:sz w:val="24"/>
          <w:szCs w:val="24"/>
        </w:rPr>
        <w:t>não estabelece isenção geral de todos os tributos para todas as operações realizadas pelo agente cultural</w:t>
      </w:r>
      <w:r w:rsidRPr="00466921">
        <w:rPr>
          <w:rFonts w:ascii="Aptos" w:hAnsi="Aptos"/>
          <w:noProof/>
          <w:sz w:val="24"/>
          <w:szCs w:val="24"/>
        </w:rPr>
        <w:t>.</w:t>
      </w:r>
    </w:p>
    <w:p w14:paraId="7936A032"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que se estabelece é que o </w:t>
      </w:r>
      <w:r w:rsidRPr="00466921">
        <w:rPr>
          <w:rFonts w:ascii="Aptos" w:hAnsi="Aptos"/>
          <w:b/>
          <w:bCs/>
          <w:noProof/>
          <w:sz w:val="24"/>
          <w:szCs w:val="24"/>
        </w:rPr>
        <w:t>simples recebimento do recurso de fomento cultural</w:t>
      </w:r>
      <w:r w:rsidRPr="00466921">
        <w:rPr>
          <w:rFonts w:ascii="Aptos" w:hAnsi="Aptos"/>
          <w:noProof/>
          <w:sz w:val="24"/>
          <w:szCs w:val="24"/>
        </w:rPr>
        <w:t xml:space="preserve">, mediante Termo de Execução Cultural, não será tratado como pagamento por serviço ao </w:t>
      </w:r>
      <w:r w:rsidRPr="00466921">
        <w:rPr>
          <w:rFonts w:ascii="Aptos" w:hAnsi="Aptos"/>
          <w:noProof/>
          <w:sz w:val="24"/>
          <w:szCs w:val="24"/>
        </w:rPr>
        <w:lastRenderedPageBreak/>
        <w:t>Município e não sofrerá retenção de Imposto de Renda nessa etapa, conforme o entendimento jurídico do Ministério da Cultura.</w:t>
      </w:r>
    </w:p>
    <w:p w14:paraId="3FAC8770"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Após o recebimento, o agente cultural poderá utilizar os recursos para realizar despesas necessárias à execução do projeto, tais como contratação de profissionais, aquisição de materiais, contratação de serviços, locações e outras despesas previstas no plano de trabalho.</w:t>
      </w:r>
    </w:p>
    <w:p w14:paraId="58D4B578"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As operações efetivamente realizadas pelo agente cultural deverão observar, quando cabível, a legislação tributária correspondente à respectiva operação.</w:t>
      </w:r>
    </w:p>
    <w:p w14:paraId="73429801"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Portanto, deve-se distinguir:</w:t>
      </w:r>
    </w:p>
    <w:p w14:paraId="5CCE4F47"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REPASSE DO FOMENTO → não é prestação de serviço ao Município.</w:t>
      </w:r>
    </w:p>
    <w:p w14:paraId="71C44CCD"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UTILIZAÇÃO DOS RECURSOS → poderá envolver operações que tenham tratamento tributário próprio, conforme a legislação aplicável.</w:t>
      </w:r>
    </w:p>
    <w:p w14:paraId="12C357E6"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Essa distinção é importante para evitar que o recurso seja tributado indevidamente já no momento do repasse, sem prejuízo da observância das obrigações tributárias eventualmente existentes em operações posteriores.</w:t>
      </w:r>
    </w:p>
    <w:p w14:paraId="62A81C0E" w14:textId="77777777" w:rsidR="00A86B9E" w:rsidRDefault="00A86B9E" w:rsidP="00697EB3">
      <w:pPr>
        <w:spacing w:after="130" w:line="240" w:lineRule="auto"/>
        <w:jc w:val="both"/>
        <w:rPr>
          <w:rFonts w:ascii="Aptos" w:hAnsi="Aptos"/>
          <w:b/>
          <w:bCs/>
          <w:noProof/>
          <w:sz w:val="24"/>
          <w:szCs w:val="24"/>
        </w:rPr>
      </w:pPr>
    </w:p>
    <w:p w14:paraId="5AA24ABF" w14:textId="001FE530"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7. DO ISSQN</w:t>
      </w:r>
    </w:p>
    <w:p w14:paraId="1F1A57A2"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simples repasse de recursos públicos ao agente cultural mediante Termo de Execução Cultural </w:t>
      </w:r>
      <w:r w:rsidRPr="00466921">
        <w:rPr>
          <w:rFonts w:ascii="Aptos" w:hAnsi="Aptos"/>
          <w:b/>
          <w:bCs/>
          <w:noProof/>
          <w:sz w:val="24"/>
          <w:szCs w:val="24"/>
        </w:rPr>
        <w:t>não caracteriza prestação de serviço do agente cultural ao Município</w:t>
      </w:r>
      <w:r w:rsidRPr="00466921">
        <w:rPr>
          <w:rFonts w:ascii="Aptos" w:hAnsi="Aptos"/>
          <w:noProof/>
          <w:sz w:val="24"/>
          <w:szCs w:val="24"/>
        </w:rPr>
        <w:t>.</w:t>
      </w:r>
    </w:p>
    <w:p w14:paraId="50A097F3"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Consequentemente, não deverá ser tratado como contratação de serviço municipal o simples recebimento do recurso de fomento.</w:t>
      </w:r>
    </w:p>
    <w:p w14:paraId="3BF224A9"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próprio Ministério da Cultura já divulgou orientação jurídica reconhecendo a </w:t>
      </w:r>
      <w:r w:rsidRPr="00466921">
        <w:rPr>
          <w:rFonts w:ascii="Aptos" w:hAnsi="Aptos"/>
          <w:b/>
          <w:bCs/>
          <w:noProof/>
          <w:sz w:val="24"/>
          <w:szCs w:val="24"/>
        </w:rPr>
        <w:t>não incidência de ISSQN nos editais de fomento em geral</w:t>
      </w:r>
      <w:r w:rsidRPr="00466921">
        <w:rPr>
          <w:rFonts w:ascii="Aptos" w:hAnsi="Aptos"/>
          <w:noProof/>
          <w:sz w:val="24"/>
          <w:szCs w:val="24"/>
        </w:rPr>
        <w:t xml:space="preserve">, diferenciando o fomento cultural da contratação de serviços pela Administração Pública. </w:t>
      </w:r>
    </w:p>
    <w:p w14:paraId="53754A00"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Assim, </w:t>
      </w:r>
      <w:r w:rsidRPr="00466921">
        <w:rPr>
          <w:rFonts w:ascii="Aptos" w:hAnsi="Aptos"/>
          <w:b/>
          <w:bCs/>
          <w:noProof/>
          <w:sz w:val="24"/>
          <w:szCs w:val="24"/>
        </w:rPr>
        <w:t>não deverá ser realizada retenção de ISSQN sobre o simples repasse do recurso de fomento cultural ao agente cultural</w:t>
      </w:r>
      <w:r w:rsidRPr="00466921">
        <w:rPr>
          <w:rFonts w:ascii="Aptos" w:hAnsi="Aptos"/>
          <w:noProof/>
          <w:sz w:val="24"/>
          <w:szCs w:val="24"/>
        </w:rPr>
        <w:t>.</w:t>
      </w:r>
    </w:p>
    <w:p w14:paraId="55A4BD56"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Eventual incidência de ISSQN relacionada a uma operação posterior deverá ser analisada conforme a natureza da operação efetivamente realizada e a legislação tributária aplicável.</w:t>
      </w:r>
    </w:p>
    <w:p w14:paraId="5DE9B5AA" w14:textId="77777777" w:rsidR="00A86B9E" w:rsidRDefault="00A86B9E" w:rsidP="00697EB3">
      <w:pPr>
        <w:spacing w:after="130" w:line="240" w:lineRule="auto"/>
        <w:jc w:val="both"/>
        <w:rPr>
          <w:rFonts w:ascii="Aptos" w:hAnsi="Aptos"/>
          <w:b/>
          <w:bCs/>
          <w:noProof/>
          <w:sz w:val="24"/>
          <w:szCs w:val="24"/>
        </w:rPr>
      </w:pPr>
    </w:p>
    <w:p w14:paraId="28C3097F" w14:textId="1734C156"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8. DA NOTA FISCAL RELATIVA AO RECEBIMENTO DO FOMENTO</w:t>
      </w:r>
    </w:p>
    <w:p w14:paraId="5D5022DA"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Considerando a natureza jurídica do instrumento utilizado neste Edital, o simples recebimento dos recursos mediante Termo de Execução Cultural </w:t>
      </w:r>
      <w:r w:rsidRPr="00466921">
        <w:rPr>
          <w:rFonts w:ascii="Aptos" w:hAnsi="Aptos"/>
          <w:b/>
          <w:bCs/>
          <w:noProof/>
          <w:sz w:val="24"/>
          <w:szCs w:val="24"/>
        </w:rPr>
        <w:t>não constitui pagamento de serviço prestado ao Município</w:t>
      </w:r>
      <w:r w:rsidRPr="00466921">
        <w:rPr>
          <w:rFonts w:ascii="Aptos" w:hAnsi="Aptos"/>
          <w:noProof/>
          <w:sz w:val="24"/>
          <w:szCs w:val="24"/>
        </w:rPr>
        <w:t>.</w:t>
      </w:r>
    </w:p>
    <w:p w14:paraId="6655FD9A"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lastRenderedPageBreak/>
        <w:t xml:space="preserve">Dessa forma, </w:t>
      </w:r>
      <w:r w:rsidRPr="00466921">
        <w:rPr>
          <w:rFonts w:ascii="Aptos" w:hAnsi="Aptos"/>
          <w:b/>
          <w:bCs/>
          <w:noProof/>
          <w:sz w:val="24"/>
          <w:szCs w:val="24"/>
        </w:rPr>
        <w:t>não deverá ser exigida nota fiscal do agente cultural como documento fiscal relativo ao simples recebimento do recurso de fomento</w:t>
      </w:r>
      <w:r w:rsidRPr="00466921">
        <w:rPr>
          <w:rFonts w:ascii="Aptos" w:hAnsi="Aptos"/>
          <w:noProof/>
          <w:sz w:val="24"/>
          <w:szCs w:val="24"/>
        </w:rPr>
        <w:t>.</w:t>
      </w:r>
    </w:p>
    <w:p w14:paraId="0BEEF92E"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Isso não significa que o agente cultural esteja dispensado de observar a legislação fiscal aplicável às operações que realizar durante a execução do projeto.</w:t>
      </w:r>
    </w:p>
    <w:p w14:paraId="69DA1354"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Quando o agente cultural contratar terceiros ou adquirir bens e serviços, deverão ser observadas as exigências fiscais e tributárias correspondentes à respectiva operação, de acordo com a legislação aplicável.</w:t>
      </w:r>
    </w:p>
    <w:p w14:paraId="7D70417F" w14:textId="77777777" w:rsidR="00A86B9E" w:rsidRDefault="00A86B9E" w:rsidP="00697EB3">
      <w:pPr>
        <w:spacing w:after="130" w:line="240" w:lineRule="auto"/>
        <w:jc w:val="both"/>
        <w:rPr>
          <w:rFonts w:ascii="Aptos" w:hAnsi="Aptos"/>
          <w:b/>
          <w:bCs/>
          <w:noProof/>
          <w:sz w:val="24"/>
          <w:szCs w:val="24"/>
        </w:rPr>
      </w:pPr>
    </w:p>
    <w:p w14:paraId="07234299" w14:textId="69EB2827"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9. DA PRESTAÇÃO DE CONTAS E DA COMPROVAÇÃO DA EXECUÇÃO</w:t>
      </w:r>
    </w:p>
    <w:p w14:paraId="6EBEAE3D"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 ausência de nota fiscal relativa ao </w:t>
      </w:r>
      <w:r w:rsidRPr="00466921">
        <w:rPr>
          <w:rFonts w:ascii="Aptos" w:hAnsi="Aptos"/>
          <w:b/>
          <w:bCs/>
          <w:noProof/>
          <w:sz w:val="24"/>
          <w:szCs w:val="24"/>
        </w:rPr>
        <w:t>simples recebimento do recurso de fomento</w:t>
      </w:r>
      <w:r w:rsidRPr="00466921">
        <w:rPr>
          <w:rFonts w:ascii="Aptos" w:hAnsi="Aptos"/>
          <w:noProof/>
          <w:sz w:val="24"/>
          <w:szCs w:val="24"/>
        </w:rPr>
        <w:t xml:space="preserve"> não significa ausência de obrigação de demonstrar a execução do projeto.</w:t>
      </w:r>
    </w:p>
    <w:p w14:paraId="242F3F04"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O agente cultural deverá cumprir as obrigações estabelecidas no Edital, no Plano de Trabalho e no Termo de Execução Cultural, especialmente quanto à comprovação da realização do objeto e dos resultados previstos.</w:t>
      </w:r>
    </w:p>
    <w:p w14:paraId="439142D0"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A legislação do fomento cultural adota uma lógica própria de acompanhamento e prestação de contas, com foco no cumprimento do objeto e nos resultados alcançados.</w:t>
      </w:r>
    </w:p>
    <w:p w14:paraId="36BCEE8B"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O Ministério da Cultura possui, inclusive, manifestação jurídica referencial específica sobre prestação de contas de projetos financiados por fomento cultural direto ou indireto, fundamentada na Lei nº 14.903/2024 e no Decreto nº 11.453/2023. </w:t>
      </w:r>
    </w:p>
    <w:p w14:paraId="09182131"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Portanto, a presente Retificação </w:t>
      </w:r>
      <w:r w:rsidRPr="00466921">
        <w:rPr>
          <w:rFonts w:ascii="Aptos" w:hAnsi="Aptos"/>
          <w:b/>
          <w:bCs/>
          <w:noProof/>
          <w:sz w:val="24"/>
          <w:szCs w:val="24"/>
        </w:rPr>
        <w:t>não elimina a obrigação de prestar contas nem autoriza a utilização dos recursos fora do plano de trabalho aprovado</w:t>
      </w:r>
      <w:r w:rsidRPr="00466921">
        <w:rPr>
          <w:rFonts w:ascii="Aptos" w:hAnsi="Aptos"/>
          <w:noProof/>
          <w:sz w:val="24"/>
          <w:szCs w:val="24"/>
        </w:rPr>
        <w:t>.</w:t>
      </w:r>
    </w:p>
    <w:p w14:paraId="12C4EFAA" w14:textId="77777777" w:rsidR="00A86B9E" w:rsidRDefault="00A86B9E" w:rsidP="00697EB3">
      <w:pPr>
        <w:spacing w:after="130" w:line="240" w:lineRule="auto"/>
        <w:jc w:val="both"/>
        <w:rPr>
          <w:rFonts w:ascii="Aptos" w:hAnsi="Aptos"/>
          <w:b/>
          <w:bCs/>
          <w:noProof/>
          <w:sz w:val="24"/>
          <w:szCs w:val="24"/>
        </w:rPr>
      </w:pPr>
    </w:p>
    <w:p w14:paraId="7F3932FC" w14:textId="568DA377"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10. DA RESPONSABILIDADE TRIBUTÁRIA DO AGENTE CULTURAL</w:t>
      </w:r>
    </w:p>
    <w:p w14:paraId="5065F8D7"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O agente cultural permanece responsável por observar as obrigações tributárias que eventualmente decorram das operações que realizar durante a execução do projeto.</w:t>
      </w:r>
    </w:p>
    <w:p w14:paraId="73081D5B"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A presente Retificação não constitui declaração de imunidade ou isenção tributária geral.</w:t>
      </w:r>
    </w:p>
    <w:p w14:paraId="195B1051"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 finalidade é estabelecer corretamente o tratamento jurídico do </w:t>
      </w:r>
      <w:r w:rsidRPr="00466921">
        <w:rPr>
          <w:rFonts w:ascii="Aptos" w:hAnsi="Aptos"/>
          <w:b/>
          <w:bCs/>
          <w:noProof/>
          <w:sz w:val="24"/>
          <w:szCs w:val="24"/>
        </w:rPr>
        <w:t>repasse do recurso de fomento</w:t>
      </w:r>
      <w:r w:rsidRPr="00466921">
        <w:rPr>
          <w:rFonts w:ascii="Aptos" w:hAnsi="Aptos"/>
          <w:noProof/>
          <w:sz w:val="24"/>
          <w:szCs w:val="24"/>
        </w:rPr>
        <w:t>, evitando que esse repasse seja confundido com pagamento decorrente de contratação de serviço.</w:t>
      </w:r>
    </w:p>
    <w:p w14:paraId="558DA866"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Assim, eventual obrigação tributária deverá ser examinada de acordo com:</w:t>
      </w:r>
    </w:p>
    <w:p w14:paraId="36823B01" w14:textId="77777777" w:rsidR="00466921" w:rsidRPr="00466921" w:rsidRDefault="00466921" w:rsidP="00697EB3">
      <w:pPr>
        <w:spacing w:after="130" w:line="240" w:lineRule="auto"/>
        <w:rPr>
          <w:rFonts w:ascii="Aptos" w:hAnsi="Aptos"/>
          <w:noProof/>
          <w:sz w:val="24"/>
          <w:szCs w:val="24"/>
        </w:rPr>
      </w:pPr>
      <w:r w:rsidRPr="00466921">
        <w:rPr>
          <w:rFonts w:ascii="Aptos" w:hAnsi="Aptos"/>
          <w:b/>
          <w:bCs/>
          <w:noProof/>
          <w:sz w:val="24"/>
          <w:szCs w:val="24"/>
        </w:rPr>
        <w:t>I – a natureza da operação realizada;</w:t>
      </w:r>
      <w:r w:rsidRPr="00466921">
        <w:rPr>
          <w:rFonts w:ascii="Aptos" w:hAnsi="Aptos"/>
          <w:b/>
          <w:bCs/>
          <w:noProof/>
          <w:sz w:val="24"/>
          <w:szCs w:val="24"/>
        </w:rPr>
        <w:br/>
        <w:t>II – a condição jurídica do agente cultural;</w:t>
      </w:r>
      <w:r w:rsidRPr="00466921">
        <w:rPr>
          <w:rFonts w:ascii="Aptos" w:hAnsi="Aptos"/>
          <w:b/>
          <w:bCs/>
          <w:noProof/>
          <w:sz w:val="24"/>
          <w:szCs w:val="24"/>
        </w:rPr>
        <w:br/>
        <w:t>III – a legislação tributária aplicável;</w:t>
      </w:r>
      <w:r w:rsidRPr="00466921">
        <w:rPr>
          <w:rFonts w:ascii="Aptos" w:hAnsi="Aptos"/>
          <w:b/>
          <w:bCs/>
          <w:noProof/>
          <w:sz w:val="24"/>
          <w:szCs w:val="24"/>
        </w:rPr>
        <w:br/>
      </w:r>
      <w:r w:rsidRPr="00466921">
        <w:rPr>
          <w:rFonts w:ascii="Aptos" w:hAnsi="Aptos"/>
          <w:b/>
          <w:bCs/>
          <w:noProof/>
          <w:sz w:val="24"/>
          <w:szCs w:val="24"/>
        </w:rPr>
        <w:lastRenderedPageBreak/>
        <w:t>IV – a forma de utilização dos recursos; e</w:t>
      </w:r>
      <w:r w:rsidRPr="00466921">
        <w:rPr>
          <w:rFonts w:ascii="Aptos" w:hAnsi="Aptos"/>
          <w:b/>
          <w:bCs/>
          <w:noProof/>
          <w:sz w:val="24"/>
          <w:szCs w:val="24"/>
        </w:rPr>
        <w:br/>
        <w:t>V – a eventual ocorrência do fato gerador do tributo.</w:t>
      </w:r>
    </w:p>
    <w:p w14:paraId="14EB6D04" w14:textId="77777777" w:rsidR="00A86B9E" w:rsidRDefault="00A86B9E" w:rsidP="00697EB3">
      <w:pPr>
        <w:spacing w:after="130" w:line="240" w:lineRule="auto"/>
        <w:jc w:val="both"/>
        <w:rPr>
          <w:rFonts w:ascii="Aptos" w:hAnsi="Aptos"/>
          <w:b/>
          <w:bCs/>
          <w:noProof/>
          <w:sz w:val="24"/>
          <w:szCs w:val="24"/>
        </w:rPr>
      </w:pPr>
    </w:p>
    <w:p w14:paraId="52B13A2B" w14:textId="282B01A9"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11. DA ADEQUAÇÃO DO ITEM 2.2 DO EDITAL</w:t>
      </w:r>
    </w:p>
    <w:p w14:paraId="741155AA"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Diante do exposto, o </w:t>
      </w:r>
      <w:r w:rsidRPr="00466921">
        <w:rPr>
          <w:rFonts w:ascii="Aptos" w:hAnsi="Aptos"/>
          <w:b/>
          <w:bCs/>
          <w:noProof/>
          <w:sz w:val="24"/>
          <w:szCs w:val="24"/>
        </w:rPr>
        <w:t>item 2.2 – Valor total do edital</w:t>
      </w:r>
      <w:r w:rsidRPr="00466921">
        <w:rPr>
          <w:rFonts w:ascii="Aptos" w:hAnsi="Aptos"/>
          <w:noProof/>
          <w:sz w:val="24"/>
          <w:szCs w:val="24"/>
        </w:rPr>
        <w:t>, especificamente na parte relativa à tributação dos recursos, passa a vigorar com a seguinte redação:</w:t>
      </w:r>
    </w:p>
    <w:p w14:paraId="581056FD"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“Os recursos destinados aos agentes culturais contemplados serão repassados mediante Termo de Execução Cultural, instrumento próprio do regime jurídico de fomento à cultura. O simples repasse dos recursos públicos ao agente cultural não constitui pagamento pela prestação de serviço ao Município.</w:t>
      </w:r>
    </w:p>
    <w:p w14:paraId="05E6080C"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Sobre o simples repasse dos recursos de fomento cultural mediante Termo de Execução Cultural não haverá retenção de Imposto de Renda na fonte, conforme entendimento firmado pela Consultoria Jurídica do Ministério da Cultura, especialmente no Parecer nº 26/2025/CONJUR-MinC/CGU/AGU.</w:t>
      </w:r>
    </w:p>
    <w:p w14:paraId="64CF698E"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Não haverá retenção de ISSQN sobre o simples repasse dos recursos de fomento cultural, uma vez que o recebimento do recurso, nessa etapa, não constitui prestação de serviço ao Município.</w:t>
      </w:r>
    </w:p>
    <w:p w14:paraId="04116B72"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b/>
          <w:bCs/>
          <w:noProof/>
          <w:sz w:val="24"/>
          <w:szCs w:val="24"/>
        </w:rPr>
        <w:t>Eventuais obrigações tributárias decorrentes da utilização dos recursos pelo agente cultural deverão observar a legislação tributária aplicável às respectivas operações, inclusive quando houver contratação de fornecedores ou prestadores de serviços.”</w:t>
      </w:r>
    </w:p>
    <w:p w14:paraId="7751109F" w14:textId="77777777" w:rsidR="00A86B9E" w:rsidRDefault="00A86B9E" w:rsidP="00697EB3">
      <w:pPr>
        <w:spacing w:after="130" w:line="240" w:lineRule="auto"/>
        <w:jc w:val="both"/>
        <w:rPr>
          <w:rFonts w:ascii="Aptos" w:hAnsi="Aptos"/>
          <w:b/>
          <w:bCs/>
          <w:noProof/>
          <w:sz w:val="24"/>
          <w:szCs w:val="24"/>
        </w:rPr>
      </w:pPr>
    </w:p>
    <w:p w14:paraId="4096A772" w14:textId="26C1E3E8"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12. DA MANUTENÇÃO DAS DEMAIS DISPOSIÇÕES</w:t>
      </w:r>
    </w:p>
    <w:p w14:paraId="6EA287E5"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Permanecem </w:t>
      </w:r>
      <w:r w:rsidRPr="00466921">
        <w:rPr>
          <w:rFonts w:ascii="Aptos" w:hAnsi="Aptos"/>
          <w:b/>
          <w:bCs/>
          <w:noProof/>
          <w:sz w:val="24"/>
          <w:szCs w:val="24"/>
        </w:rPr>
        <w:t>inalteradas e em pleno vigor</w:t>
      </w:r>
      <w:r w:rsidRPr="00466921">
        <w:rPr>
          <w:rFonts w:ascii="Aptos" w:hAnsi="Aptos"/>
          <w:noProof/>
          <w:sz w:val="24"/>
          <w:szCs w:val="24"/>
        </w:rPr>
        <w:t xml:space="preserve"> todas as demais disposições do Edital de Chamamento Público nº 04/2026 – PNAB que não tenham sido expressamente modificadas pela presente Retificação.</w:t>
      </w:r>
    </w:p>
    <w:p w14:paraId="6C4440F8"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A presente alteração não modifica:</w:t>
      </w:r>
    </w:p>
    <w:p w14:paraId="117D4FC6" w14:textId="77777777" w:rsidR="00466921" w:rsidRPr="00466921" w:rsidRDefault="00466921" w:rsidP="00697EB3">
      <w:pPr>
        <w:spacing w:after="130" w:line="240" w:lineRule="auto"/>
        <w:rPr>
          <w:rFonts w:ascii="Aptos" w:hAnsi="Aptos"/>
          <w:noProof/>
          <w:sz w:val="24"/>
          <w:szCs w:val="24"/>
        </w:rPr>
      </w:pPr>
      <w:r w:rsidRPr="00466921">
        <w:rPr>
          <w:rFonts w:ascii="Aptos" w:hAnsi="Aptos"/>
          <w:b/>
          <w:bCs/>
          <w:noProof/>
          <w:sz w:val="24"/>
          <w:szCs w:val="24"/>
        </w:rPr>
        <w:t>I – as categorias culturais;</w:t>
      </w:r>
      <w:r w:rsidRPr="00466921">
        <w:rPr>
          <w:rFonts w:ascii="Aptos" w:hAnsi="Aptos"/>
          <w:b/>
          <w:bCs/>
          <w:noProof/>
          <w:sz w:val="24"/>
          <w:szCs w:val="24"/>
        </w:rPr>
        <w:br/>
        <w:t>II – os valores de cada categoria;</w:t>
      </w:r>
      <w:r w:rsidRPr="00466921">
        <w:rPr>
          <w:rFonts w:ascii="Aptos" w:hAnsi="Aptos"/>
          <w:b/>
          <w:bCs/>
          <w:noProof/>
          <w:sz w:val="24"/>
          <w:szCs w:val="24"/>
        </w:rPr>
        <w:br/>
        <w:t>III – o valor total do edital;</w:t>
      </w:r>
      <w:r w:rsidRPr="00466921">
        <w:rPr>
          <w:rFonts w:ascii="Aptos" w:hAnsi="Aptos"/>
          <w:b/>
          <w:bCs/>
          <w:noProof/>
          <w:sz w:val="24"/>
          <w:szCs w:val="24"/>
        </w:rPr>
        <w:br/>
        <w:t>IV – os critérios de avaliação;</w:t>
      </w:r>
      <w:r w:rsidRPr="00466921">
        <w:rPr>
          <w:rFonts w:ascii="Aptos" w:hAnsi="Aptos"/>
          <w:b/>
          <w:bCs/>
          <w:noProof/>
          <w:sz w:val="24"/>
          <w:szCs w:val="24"/>
        </w:rPr>
        <w:br/>
        <w:t>V – os critérios de classificação;</w:t>
      </w:r>
      <w:r w:rsidRPr="00466921">
        <w:rPr>
          <w:rFonts w:ascii="Aptos" w:hAnsi="Aptos"/>
          <w:b/>
          <w:bCs/>
          <w:noProof/>
          <w:sz w:val="24"/>
          <w:szCs w:val="24"/>
        </w:rPr>
        <w:br/>
        <w:t>VI – as regras de ações afirmativas e cotas;</w:t>
      </w:r>
      <w:r w:rsidRPr="00466921">
        <w:rPr>
          <w:rFonts w:ascii="Aptos" w:hAnsi="Aptos"/>
          <w:b/>
          <w:bCs/>
          <w:noProof/>
          <w:sz w:val="24"/>
          <w:szCs w:val="24"/>
        </w:rPr>
        <w:br/>
        <w:t>VII – os prazos já estabelecidos;</w:t>
      </w:r>
      <w:r w:rsidRPr="00466921">
        <w:rPr>
          <w:rFonts w:ascii="Aptos" w:hAnsi="Aptos"/>
          <w:b/>
          <w:bCs/>
          <w:noProof/>
          <w:sz w:val="24"/>
          <w:szCs w:val="24"/>
        </w:rPr>
        <w:br/>
        <w:t>VIII – os documentos de habilitação;</w:t>
      </w:r>
      <w:r w:rsidRPr="00466921">
        <w:rPr>
          <w:rFonts w:ascii="Aptos" w:hAnsi="Aptos"/>
          <w:b/>
          <w:bCs/>
          <w:noProof/>
          <w:sz w:val="24"/>
          <w:szCs w:val="24"/>
        </w:rPr>
        <w:br/>
        <w:t>IX – as regras de celebração do Termo de Execução Cultural;</w:t>
      </w:r>
      <w:r w:rsidRPr="00466921">
        <w:rPr>
          <w:rFonts w:ascii="Aptos" w:hAnsi="Aptos"/>
          <w:b/>
          <w:bCs/>
          <w:noProof/>
          <w:sz w:val="24"/>
          <w:szCs w:val="24"/>
        </w:rPr>
        <w:br/>
      </w:r>
      <w:r w:rsidRPr="00466921">
        <w:rPr>
          <w:rFonts w:ascii="Aptos" w:hAnsi="Aptos"/>
          <w:b/>
          <w:bCs/>
          <w:noProof/>
          <w:sz w:val="24"/>
          <w:szCs w:val="24"/>
        </w:rPr>
        <w:lastRenderedPageBreak/>
        <w:t>X – as regras de execução e prestação de contas;</w:t>
      </w:r>
      <w:r w:rsidRPr="00466921">
        <w:rPr>
          <w:rFonts w:ascii="Aptos" w:hAnsi="Aptos"/>
          <w:b/>
          <w:bCs/>
          <w:noProof/>
          <w:sz w:val="24"/>
          <w:szCs w:val="24"/>
        </w:rPr>
        <w:br/>
        <w:t>XI – as demais condições previstas no edital.</w:t>
      </w:r>
    </w:p>
    <w:p w14:paraId="191067FC" w14:textId="77777777" w:rsidR="00A86B9E" w:rsidRDefault="00A86B9E" w:rsidP="00697EB3">
      <w:pPr>
        <w:spacing w:after="130" w:line="240" w:lineRule="auto"/>
        <w:jc w:val="both"/>
        <w:rPr>
          <w:rFonts w:ascii="Aptos" w:hAnsi="Aptos"/>
          <w:b/>
          <w:bCs/>
          <w:noProof/>
          <w:sz w:val="24"/>
          <w:szCs w:val="24"/>
        </w:rPr>
      </w:pPr>
    </w:p>
    <w:p w14:paraId="761F911E" w14:textId="1D567698" w:rsidR="00466921" w:rsidRPr="00466921" w:rsidRDefault="00466921" w:rsidP="00697EB3">
      <w:pPr>
        <w:spacing w:after="130" w:line="240" w:lineRule="auto"/>
        <w:jc w:val="both"/>
        <w:rPr>
          <w:rFonts w:ascii="Aptos" w:hAnsi="Aptos"/>
          <w:b/>
          <w:bCs/>
          <w:noProof/>
          <w:sz w:val="24"/>
          <w:szCs w:val="24"/>
        </w:rPr>
      </w:pPr>
      <w:r w:rsidRPr="00466921">
        <w:rPr>
          <w:rFonts w:ascii="Aptos" w:hAnsi="Aptos"/>
          <w:b/>
          <w:bCs/>
          <w:noProof/>
          <w:sz w:val="24"/>
          <w:szCs w:val="24"/>
        </w:rPr>
        <w:t>13. DA PUBLICAÇÃO</w:t>
      </w:r>
    </w:p>
    <w:p w14:paraId="340F3132" w14:textId="77777777"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 xml:space="preserve">A presente Retificação deverá ser publicada no </w:t>
      </w:r>
      <w:r w:rsidRPr="00466921">
        <w:rPr>
          <w:rFonts w:ascii="Aptos" w:hAnsi="Aptos"/>
          <w:b/>
          <w:bCs/>
          <w:noProof/>
          <w:sz w:val="24"/>
          <w:szCs w:val="24"/>
        </w:rPr>
        <w:t>Diário Oficial dos Municípios – DOM</w:t>
      </w:r>
      <w:r w:rsidRPr="00466921">
        <w:rPr>
          <w:rFonts w:ascii="Aptos" w:hAnsi="Aptos"/>
          <w:noProof/>
          <w:sz w:val="24"/>
          <w:szCs w:val="24"/>
        </w:rPr>
        <w:t xml:space="preserve">, disponibilizada na </w:t>
      </w:r>
      <w:r w:rsidRPr="00466921">
        <w:rPr>
          <w:rFonts w:ascii="Aptos" w:hAnsi="Aptos"/>
          <w:b/>
          <w:bCs/>
          <w:noProof/>
          <w:sz w:val="24"/>
          <w:szCs w:val="24"/>
        </w:rPr>
        <w:t>plataforma CultBR</w:t>
      </w:r>
      <w:r w:rsidRPr="00466921">
        <w:rPr>
          <w:rFonts w:ascii="Aptos" w:hAnsi="Aptos"/>
          <w:noProof/>
          <w:sz w:val="24"/>
          <w:szCs w:val="24"/>
        </w:rPr>
        <w:t xml:space="preserve"> e juntada aos autos do processo administrativo correspondente, passando a integrar o Edital de Chamamento Público nº 04/2026 – PNAB para todos os fins.</w:t>
      </w:r>
    </w:p>
    <w:p w14:paraId="45DF2A66" w14:textId="1ED0EAAC" w:rsidR="00466921" w:rsidRPr="00466921" w:rsidRDefault="00466921" w:rsidP="00697EB3">
      <w:pPr>
        <w:spacing w:after="130" w:line="240" w:lineRule="auto"/>
        <w:jc w:val="both"/>
        <w:rPr>
          <w:rFonts w:ascii="Aptos" w:hAnsi="Aptos"/>
          <w:noProof/>
          <w:sz w:val="24"/>
          <w:szCs w:val="24"/>
        </w:rPr>
      </w:pPr>
      <w:r w:rsidRPr="00466921">
        <w:rPr>
          <w:rFonts w:ascii="Aptos" w:hAnsi="Aptos"/>
          <w:noProof/>
          <w:sz w:val="24"/>
          <w:szCs w:val="24"/>
        </w:rPr>
        <w:t>Timbó Grande/SC,</w:t>
      </w:r>
      <w:r w:rsidR="00CB3694">
        <w:rPr>
          <w:rFonts w:ascii="Aptos" w:hAnsi="Aptos"/>
          <w:noProof/>
          <w:sz w:val="24"/>
          <w:szCs w:val="24"/>
        </w:rPr>
        <w:t xml:space="preserve"> 28</w:t>
      </w:r>
      <w:r w:rsidRPr="00466921">
        <w:rPr>
          <w:rFonts w:ascii="Aptos" w:hAnsi="Aptos"/>
          <w:noProof/>
          <w:sz w:val="24"/>
          <w:szCs w:val="24"/>
        </w:rPr>
        <w:t xml:space="preserve"> de</w:t>
      </w:r>
      <w:r w:rsidR="00CB3694">
        <w:rPr>
          <w:rFonts w:ascii="Aptos" w:hAnsi="Aptos"/>
          <w:noProof/>
          <w:sz w:val="24"/>
          <w:szCs w:val="24"/>
        </w:rPr>
        <w:t xml:space="preserve"> agosto</w:t>
      </w:r>
      <w:r w:rsidR="006A0D87">
        <w:rPr>
          <w:rFonts w:ascii="Aptos" w:hAnsi="Aptos"/>
          <w:noProof/>
          <w:sz w:val="24"/>
          <w:szCs w:val="24"/>
        </w:rPr>
        <w:t xml:space="preserve"> </w:t>
      </w:r>
      <w:r w:rsidRPr="00466921">
        <w:rPr>
          <w:rFonts w:ascii="Aptos" w:hAnsi="Aptos"/>
          <w:noProof/>
          <w:sz w:val="24"/>
          <w:szCs w:val="24"/>
        </w:rPr>
        <w:t>de 2026.</w:t>
      </w:r>
    </w:p>
    <w:p w14:paraId="1D6A5FBA" w14:textId="1F9D8596" w:rsidR="00466921" w:rsidRPr="00466921" w:rsidRDefault="00466921" w:rsidP="00697EB3">
      <w:pPr>
        <w:spacing w:after="130" w:line="240" w:lineRule="auto"/>
        <w:rPr>
          <w:rFonts w:ascii="Aptos" w:hAnsi="Aptos"/>
          <w:noProof/>
          <w:sz w:val="24"/>
          <w:szCs w:val="24"/>
        </w:rPr>
      </w:pPr>
    </w:p>
    <w:p w14:paraId="16CEA236" w14:textId="77777777" w:rsidR="00697EB3" w:rsidRDefault="00697EB3" w:rsidP="00697EB3">
      <w:pPr>
        <w:spacing w:after="130" w:line="240" w:lineRule="auto"/>
        <w:jc w:val="center"/>
        <w:rPr>
          <w:rFonts w:ascii="Aptos" w:hAnsi="Aptos"/>
          <w:b/>
          <w:bCs/>
          <w:noProof/>
          <w:sz w:val="24"/>
          <w:szCs w:val="24"/>
        </w:rPr>
      </w:pPr>
    </w:p>
    <w:p w14:paraId="01BB4B39" w14:textId="2A6F9C5F" w:rsidR="00466921" w:rsidRDefault="00466921" w:rsidP="00697EB3">
      <w:pPr>
        <w:spacing w:after="130" w:line="240" w:lineRule="auto"/>
        <w:jc w:val="center"/>
        <w:rPr>
          <w:rFonts w:ascii="Aptos" w:hAnsi="Aptos"/>
          <w:noProof/>
          <w:sz w:val="24"/>
          <w:szCs w:val="24"/>
        </w:rPr>
      </w:pPr>
      <w:r w:rsidRPr="00466921">
        <w:rPr>
          <w:rFonts w:ascii="Aptos" w:hAnsi="Aptos"/>
          <w:b/>
          <w:bCs/>
          <w:noProof/>
          <w:sz w:val="24"/>
          <w:szCs w:val="24"/>
        </w:rPr>
        <w:t>ARI JOSÉ GALESKI</w:t>
      </w:r>
      <w:r w:rsidRPr="00466921">
        <w:rPr>
          <w:rFonts w:ascii="Aptos" w:hAnsi="Aptos"/>
          <w:noProof/>
          <w:sz w:val="24"/>
          <w:szCs w:val="24"/>
        </w:rPr>
        <w:br/>
      </w:r>
      <w:r w:rsidRPr="00466921">
        <w:rPr>
          <w:rFonts w:ascii="Aptos" w:hAnsi="Aptos"/>
          <w:b/>
          <w:bCs/>
          <w:noProof/>
          <w:sz w:val="24"/>
          <w:szCs w:val="24"/>
        </w:rPr>
        <w:t>Prefeito Municipal</w:t>
      </w:r>
    </w:p>
    <w:p w14:paraId="61F2FCF0" w14:textId="77777777" w:rsidR="00CB3694" w:rsidRPr="00466921" w:rsidRDefault="00CB3694" w:rsidP="00697EB3">
      <w:pPr>
        <w:spacing w:after="130" w:line="240" w:lineRule="auto"/>
        <w:jc w:val="center"/>
        <w:rPr>
          <w:rFonts w:ascii="Aptos" w:hAnsi="Aptos"/>
          <w:noProof/>
          <w:sz w:val="24"/>
          <w:szCs w:val="24"/>
        </w:rPr>
      </w:pPr>
    </w:p>
    <w:p w14:paraId="5ACE2471" w14:textId="77777777" w:rsidR="00697EB3" w:rsidRDefault="00697EB3" w:rsidP="00697EB3">
      <w:pPr>
        <w:spacing w:after="130" w:line="240" w:lineRule="auto"/>
        <w:jc w:val="center"/>
        <w:rPr>
          <w:rFonts w:ascii="Aptos" w:hAnsi="Aptos"/>
          <w:b/>
          <w:bCs/>
          <w:noProof/>
          <w:sz w:val="24"/>
          <w:szCs w:val="24"/>
        </w:rPr>
      </w:pPr>
    </w:p>
    <w:p w14:paraId="3510E139" w14:textId="10319FDA" w:rsidR="00093BA9" w:rsidRPr="000C5D25" w:rsidRDefault="00466921" w:rsidP="00697EB3">
      <w:pPr>
        <w:spacing w:after="130" w:line="240" w:lineRule="auto"/>
        <w:jc w:val="center"/>
        <w:rPr>
          <w:rFonts w:ascii="Aptos" w:hAnsi="Aptos"/>
          <w:noProof/>
          <w:sz w:val="24"/>
          <w:szCs w:val="24"/>
        </w:rPr>
      </w:pPr>
      <w:r w:rsidRPr="00466921">
        <w:rPr>
          <w:rFonts w:ascii="Aptos" w:hAnsi="Aptos"/>
          <w:b/>
          <w:bCs/>
          <w:noProof/>
          <w:sz w:val="24"/>
          <w:szCs w:val="24"/>
        </w:rPr>
        <w:t>LORIZETE GRANEMANN ALVES CORRÊA</w:t>
      </w:r>
      <w:r w:rsidRPr="00466921">
        <w:rPr>
          <w:rFonts w:ascii="Aptos" w:hAnsi="Aptos"/>
          <w:noProof/>
          <w:sz w:val="24"/>
          <w:szCs w:val="24"/>
        </w:rPr>
        <w:br/>
      </w:r>
      <w:r w:rsidRPr="00466921">
        <w:rPr>
          <w:rFonts w:ascii="Aptos" w:hAnsi="Aptos"/>
          <w:b/>
          <w:bCs/>
          <w:noProof/>
          <w:sz w:val="24"/>
          <w:szCs w:val="24"/>
        </w:rPr>
        <w:t>Secretária Municipal de Cultura e Turismo</w:t>
      </w:r>
    </w:p>
    <w:sectPr w:rsidR="00093BA9" w:rsidRPr="000C5D25" w:rsidSect="00A86B9E">
      <w:headerReference w:type="default" r:id="rId7"/>
      <w:footerReference w:type="default" r:id="rId8"/>
      <w:pgSz w:w="11906" w:h="16838"/>
      <w:pgMar w:top="2835" w:right="1274" w:bottom="1417" w:left="1276" w:header="102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F1EA8" w14:textId="77777777" w:rsidR="00EA08F7" w:rsidRDefault="00EA08F7" w:rsidP="00397034">
      <w:pPr>
        <w:spacing w:after="0" w:line="240" w:lineRule="auto"/>
      </w:pPr>
      <w:r>
        <w:separator/>
      </w:r>
    </w:p>
  </w:endnote>
  <w:endnote w:type="continuationSeparator" w:id="0">
    <w:p w14:paraId="20FCB42D" w14:textId="77777777" w:rsidR="00EA08F7" w:rsidRDefault="00EA08F7" w:rsidP="0039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8615355"/>
      <w:docPartObj>
        <w:docPartGallery w:val="Page Numbers (Bottom of Page)"/>
        <w:docPartUnique/>
      </w:docPartObj>
    </w:sdtPr>
    <w:sdtContent>
      <w:sdt>
        <w:sdtPr>
          <w:id w:val="-1769616900"/>
          <w:docPartObj>
            <w:docPartGallery w:val="Page Numbers (Top of Page)"/>
            <w:docPartUnique/>
          </w:docPartObj>
        </w:sdtPr>
        <w:sdtContent>
          <w:p w14:paraId="12C08C5B" w14:textId="699D8DCA" w:rsidR="002D2FAD" w:rsidRDefault="002D2FAD" w:rsidP="002D2FAD">
            <w:pPr>
              <w:tabs>
                <w:tab w:val="right" w:pos="8504"/>
              </w:tabs>
              <w:spacing w:after="1" w:line="252" w:lineRule="auto"/>
            </w:pPr>
          </w:p>
          <w:p w14:paraId="6D3FB26F" w14:textId="29E5BFFA" w:rsidR="002D2FAD" w:rsidRDefault="00397034" w:rsidP="00A86B9E">
            <w:pPr>
              <w:tabs>
                <w:tab w:val="right" w:pos="8504"/>
              </w:tabs>
              <w:spacing w:after="1" w:line="252" w:lineRule="auto"/>
              <w:jc w:val="center"/>
            </w:pPr>
            <w:r>
              <w:rPr>
                <w:noProof/>
              </w:rPr>
              <mc:AlternateContent>
                <mc:Choice Requires="wps">
                  <w:drawing>
                    <wp:anchor distT="0" distB="0" distL="114300" distR="114300" simplePos="0" relativeHeight="251659264" behindDoc="0" locked="0" layoutInCell="1" allowOverlap="1" wp14:anchorId="59C114C1" wp14:editId="187439D7">
                      <wp:simplePos x="0" y="0"/>
                      <wp:positionH relativeFrom="column">
                        <wp:posOffset>-3810</wp:posOffset>
                      </wp:positionH>
                      <wp:positionV relativeFrom="paragraph">
                        <wp:posOffset>73660</wp:posOffset>
                      </wp:positionV>
                      <wp:extent cx="5295900" cy="0"/>
                      <wp:effectExtent l="0" t="0" r="0" b="0"/>
                      <wp:wrapNone/>
                      <wp:docPr id="115943348" name="Conector reto 4"/>
                      <wp:cNvGraphicFramePr/>
                      <a:graphic xmlns:a="http://schemas.openxmlformats.org/drawingml/2006/main">
                        <a:graphicData uri="http://schemas.microsoft.com/office/word/2010/wordprocessingShape">
                          <wps:wsp>
                            <wps:cNvCnPr/>
                            <wps:spPr>
                              <a:xfrm>
                                <a:off x="0" y="0"/>
                                <a:ext cx="529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1B17A55E" id="Conector reto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5.8pt" to="416.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" strokecolor="black [3200]" strokeweight=".5pt">
                      <v:stroke joinstyle="miter"/>
                    </v:line>
                  </w:pict>
                </mc:Fallback>
              </mc:AlternateContent>
            </w:r>
          </w:p>
          <w:p w14:paraId="6748B5F2" w14:textId="77777777" w:rsidR="00697EB3" w:rsidRDefault="00397034" w:rsidP="00A86B9E">
            <w:pPr>
              <w:tabs>
                <w:tab w:val="right" w:pos="8504"/>
              </w:tabs>
              <w:spacing w:after="1" w:line="252" w:lineRule="auto"/>
              <w:jc w:val="center"/>
            </w:pPr>
            <w:r>
              <w:t>Rua Prefeito Argemiro Guedes dos Santos, nº 385, Centro, Timbó Grande - SC, CEP 89545-000</w:t>
            </w:r>
          </w:p>
          <w:p w14:paraId="7E50134E" w14:textId="61B13B9C" w:rsidR="00397034" w:rsidRDefault="00397034" w:rsidP="00A86B9E">
            <w:pPr>
              <w:tabs>
                <w:tab w:val="right" w:pos="8504"/>
              </w:tabs>
              <w:spacing w:after="1" w:line="252" w:lineRule="auto"/>
              <w:jc w:val="center"/>
            </w:pPr>
            <w:r>
              <w:t>Fone (49) 3540-0199 – www.timbogrande.sc.gov.br</w:t>
            </w:r>
          </w:p>
          <w:p w14:paraId="7A2129D9" w14:textId="6101A3C0" w:rsidR="00397034" w:rsidRDefault="00397034" w:rsidP="00397034">
            <w:pPr>
              <w:pStyle w:val="Rodap"/>
              <w:jc w:val="right"/>
            </w:pPr>
            <w:r w:rsidRPr="00A86B9E">
              <w:rPr>
                <w:sz w:val="16"/>
                <w:szCs w:val="16"/>
              </w:rPr>
              <w:t xml:space="preserve">Página </w:t>
            </w:r>
            <w:r w:rsidRPr="00A86B9E">
              <w:rPr>
                <w:sz w:val="16"/>
                <w:szCs w:val="16"/>
              </w:rPr>
              <w:fldChar w:fldCharType="begin"/>
            </w:r>
            <w:r w:rsidRPr="00A86B9E">
              <w:rPr>
                <w:sz w:val="16"/>
                <w:szCs w:val="16"/>
              </w:rPr>
              <w:instrText>PAGE</w:instrText>
            </w:r>
            <w:r w:rsidRPr="00A86B9E">
              <w:rPr>
                <w:sz w:val="16"/>
                <w:szCs w:val="16"/>
              </w:rPr>
              <w:fldChar w:fldCharType="separate"/>
            </w:r>
            <w:r w:rsidRPr="00A86B9E">
              <w:rPr>
                <w:sz w:val="16"/>
                <w:szCs w:val="16"/>
              </w:rPr>
              <w:t>2</w:t>
            </w:r>
            <w:r w:rsidRPr="00A86B9E">
              <w:rPr>
                <w:sz w:val="16"/>
                <w:szCs w:val="16"/>
              </w:rPr>
              <w:fldChar w:fldCharType="end"/>
            </w:r>
            <w:r w:rsidRPr="00A86B9E">
              <w:rPr>
                <w:sz w:val="16"/>
                <w:szCs w:val="16"/>
              </w:rPr>
              <w:t xml:space="preserve"> de </w:t>
            </w:r>
            <w:r w:rsidRPr="00A86B9E">
              <w:rPr>
                <w:sz w:val="16"/>
                <w:szCs w:val="16"/>
              </w:rPr>
              <w:fldChar w:fldCharType="begin"/>
            </w:r>
            <w:r w:rsidRPr="00A86B9E">
              <w:rPr>
                <w:sz w:val="16"/>
                <w:szCs w:val="16"/>
              </w:rPr>
              <w:instrText>NUMPAGES</w:instrText>
            </w:r>
            <w:r w:rsidRPr="00A86B9E">
              <w:rPr>
                <w:sz w:val="16"/>
                <w:szCs w:val="16"/>
              </w:rPr>
              <w:fldChar w:fldCharType="separate"/>
            </w:r>
            <w:r w:rsidRPr="00A86B9E">
              <w:rPr>
                <w:sz w:val="16"/>
                <w:szCs w:val="16"/>
              </w:rPr>
              <w:t>2</w:t>
            </w:r>
            <w:r w:rsidRPr="00A86B9E">
              <w:rPr>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20ACA" w14:textId="77777777" w:rsidR="00EA08F7" w:rsidRDefault="00EA08F7" w:rsidP="00397034">
      <w:pPr>
        <w:spacing w:after="0" w:line="240" w:lineRule="auto"/>
      </w:pPr>
      <w:r>
        <w:separator/>
      </w:r>
    </w:p>
  </w:footnote>
  <w:footnote w:type="continuationSeparator" w:id="0">
    <w:p w14:paraId="4A07BDAA" w14:textId="77777777" w:rsidR="00EA08F7" w:rsidRDefault="00EA08F7" w:rsidP="00397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69A1F" w14:textId="4130F616" w:rsidR="00A86B9E" w:rsidRDefault="00A86B9E">
    <w:pPr>
      <w:pStyle w:val="Cabealho"/>
    </w:pPr>
    <w:r w:rsidRPr="000C5D25">
      <w:rPr>
        <w:rFonts w:ascii="Aptos" w:hAnsi="Aptos"/>
        <w:noProof/>
        <w:sz w:val="24"/>
        <w:szCs w:val="24"/>
      </w:rPr>
      <w:drawing>
        <wp:anchor distT="0" distB="0" distL="114300" distR="114300" simplePos="0" relativeHeight="251661312" behindDoc="1" locked="0" layoutInCell="1" allowOverlap="1" wp14:anchorId="0E5D86D5" wp14:editId="0EDAFED3">
          <wp:simplePos x="0" y="0"/>
          <wp:positionH relativeFrom="margin">
            <wp:align>center</wp:align>
          </wp:positionH>
          <wp:positionV relativeFrom="paragraph">
            <wp:posOffset>-505460</wp:posOffset>
          </wp:positionV>
          <wp:extent cx="5400040" cy="1660525"/>
          <wp:effectExtent l="0" t="0" r="0" b="0"/>
          <wp:wrapTight wrapText="bothSides">
            <wp:wrapPolygon edited="0">
              <wp:start x="0" y="0"/>
              <wp:lineTo x="0" y="21311"/>
              <wp:lineTo x="21488" y="21311"/>
              <wp:lineTo x="21488" y="0"/>
              <wp:lineTo x="0" y="0"/>
            </wp:wrapPolygon>
          </wp:wrapTight>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29470" name="Imagem 1882329470"/>
                  <pic:cNvPicPr/>
                </pic:nvPicPr>
                <pic:blipFill>
                  <a:blip r:embed="rId1">
                    <a:extLst>
                      <a:ext uri="{28A0092B-C50C-407E-A947-70E740481C1C}">
                        <a14:useLocalDpi xmlns:a14="http://schemas.microsoft.com/office/drawing/2010/main" val="0"/>
                      </a:ext>
                    </a:extLst>
                  </a:blip>
                  <a:stretch>
                    <a:fillRect/>
                  </a:stretch>
                </pic:blipFill>
                <pic:spPr>
                  <a:xfrm>
                    <a:off x="0" y="0"/>
                    <a:ext cx="5400040" cy="16605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034"/>
    <w:rsid w:val="00037E28"/>
    <w:rsid w:val="0008162A"/>
    <w:rsid w:val="00093BA9"/>
    <w:rsid w:val="000C5D25"/>
    <w:rsid w:val="00162E95"/>
    <w:rsid w:val="001642AB"/>
    <w:rsid w:val="00263355"/>
    <w:rsid w:val="002D2FAD"/>
    <w:rsid w:val="00393081"/>
    <w:rsid w:val="00397034"/>
    <w:rsid w:val="00466921"/>
    <w:rsid w:val="0047552E"/>
    <w:rsid w:val="00477CBF"/>
    <w:rsid w:val="004B0B45"/>
    <w:rsid w:val="004C6720"/>
    <w:rsid w:val="004E58BA"/>
    <w:rsid w:val="0058352F"/>
    <w:rsid w:val="005F66D7"/>
    <w:rsid w:val="006633B1"/>
    <w:rsid w:val="00677939"/>
    <w:rsid w:val="006806F9"/>
    <w:rsid w:val="00697EB3"/>
    <w:rsid w:val="006A0D87"/>
    <w:rsid w:val="006F32C4"/>
    <w:rsid w:val="00731A32"/>
    <w:rsid w:val="007377FD"/>
    <w:rsid w:val="00764E50"/>
    <w:rsid w:val="00767627"/>
    <w:rsid w:val="007847E4"/>
    <w:rsid w:val="007D6921"/>
    <w:rsid w:val="007F25A8"/>
    <w:rsid w:val="00817712"/>
    <w:rsid w:val="008B0642"/>
    <w:rsid w:val="00917598"/>
    <w:rsid w:val="00964ED4"/>
    <w:rsid w:val="009D1645"/>
    <w:rsid w:val="00A86B9E"/>
    <w:rsid w:val="00AF51BB"/>
    <w:rsid w:val="00B3631C"/>
    <w:rsid w:val="00B75E75"/>
    <w:rsid w:val="00BF68B6"/>
    <w:rsid w:val="00C03B50"/>
    <w:rsid w:val="00CB3694"/>
    <w:rsid w:val="00EA08F7"/>
    <w:rsid w:val="00EE70E2"/>
    <w:rsid w:val="00F027B0"/>
    <w:rsid w:val="00FE1C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80F6C"/>
  <w15:chartTrackingRefBased/>
  <w15:docId w15:val="{A943D938-9062-4A4E-A55A-1D1F9D6E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970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970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9703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9703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9703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970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970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970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9703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9703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9703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9703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9703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9703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9703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9703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9703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97034"/>
    <w:rPr>
      <w:rFonts w:eastAsiaTheme="majorEastAsia" w:cstheme="majorBidi"/>
      <w:color w:val="272727" w:themeColor="text1" w:themeTint="D8"/>
    </w:rPr>
  </w:style>
  <w:style w:type="paragraph" w:styleId="Ttulo">
    <w:name w:val="Title"/>
    <w:basedOn w:val="Normal"/>
    <w:next w:val="Normal"/>
    <w:link w:val="TtuloChar"/>
    <w:uiPriority w:val="10"/>
    <w:qFormat/>
    <w:rsid w:val="00397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970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9703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9703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97034"/>
    <w:pPr>
      <w:spacing w:before="160"/>
      <w:jc w:val="center"/>
    </w:pPr>
    <w:rPr>
      <w:i/>
      <w:iCs/>
      <w:color w:val="404040" w:themeColor="text1" w:themeTint="BF"/>
    </w:rPr>
  </w:style>
  <w:style w:type="character" w:customStyle="1" w:styleId="CitaoChar">
    <w:name w:val="Citação Char"/>
    <w:basedOn w:val="Fontepargpadro"/>
    <w:link w:val="Citao"/>
    <w:uiPriority w:val="29"/>
    <w:rsid w:val="00397034"/>
    <w:rPr>
      <w:i/>
      <w:iCs/>
      <w:color w:val="404040" w:themeColor="text1" w:themeTint="BF"/>
    </w:rPr>
  </w:style>
  <w:style w:type="paragraph" w:styleId="PargrafodaLista">
    <w:name w:val="List Paragraph"/>
    <w:basedOn w:val="Normal"/>
    <w:uiPriority w:val="34"/>
    <w:qFormat/>
    <w:rsid w:val="00397034"/>
    <w:pPr>
      <w:ind w:left="720"/>
      <w:contextualSpacing/>
    </w:pPr>
  </w:style>
  <w:style w:type="character" w:styleId="nfaseIntensa">
    <w:name w:val="Intense Emphasis"/>
    <w:basedOn w:val="Fontepargpadro"/>
    <w:uiPriority w:val="21"/>
    <w:qFormat/>
    <w:rsid w:val="00397034"/>
    <w:rPr>
      <w:i/>
      <w:iCs/>
      <w:color w:val="2F5496" w:themeColor="accent1" w:themeShade="BF"/>
    </w:rPr>
  </w:style>
  <w:style w:type="paragraph" w:styleId="CitaoIntensa">
    <w:name w:val="Intense Quote"/>
    <w:basedOn w:val="Normal"/>
    <w:next w:val="Normal"/>
    <w:link w:val="CitaoIntensaChar"/>
    <w:uiPriority w:val="30"/>
    <w:qFormat/>
    <w:rsid w:val="003970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97034"/>
    <w:rPr>
      <w:i/>
      <w:iCs/>
      <w:color w:val="2F5496" w:themeColor="accent1" w:themeShade="BF"/>
    </w:rPr>
  </w:style>
  <w:style w:type="character" w:styleId="RefernciaIntensa">
    <w:name w:val="Intense Reference"/>
    <w:basedOn w:val="Fontepargpadro"/>
    <w:uiPriority w:val="32"/>
    <w:qFormat/>
    <w:rsid w:val="00397034"/>
    <w:rPr>
      <w:b/>
      <w:bCs/>
      <w:smallCaps/>
      <w:color w:val="2F5496" w:themeColor="accent1" w:themeShade="BF"/>
      <w:spacing w:val="5"/>
    </w:rPr>
  </w:style>
  <w:style w:type="paragraph" w:styleId="Cabealho">
    <w:name w:val="header"/>
    <w:basedOn w:val="Normal"/>
    <w:link w:val="CabealhoChar"/>
    <w:uiPriority w:val="99"/>
    <w:unhideWhenUsed/>
    <w:rsid w:val="0039703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97034"/>
  </w:style>
  <w:style w:type="paragraph" w:styleId="Rodap">
    <w:name w:val="footer"/>
    <w:basedOn w:val="Normal"/>
    <w:link w:val="RodapChar"/>
    <w:uiPriority w:val="99"/>
    <w:unhideWhenUsed/>
    <w:rsid w:val="00397034"/>
    <w:pPr>
      <w:tabs>
        <w:tab w:val="center" w:pos="4252"/>
        <w:tab w:val="right" w:pos="8504"/>
      </w:tabs>
      <w:spacing w:after="0" w:line="240" w:lineRule="auto"/>
    </w:pPr>
  </w:style>
  <w:style w:type="character" w:customStyle="1" w:styleId="RodapChar">
    <w:name w:val="Rodapé Char"/>
    <w:basedOn w:val="Fontepargpadro"/>
    <w:link w:val="Rodap"/>
    <w:uiPriority w:val="99"/>
    <w:rsid w:val="00397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2826F-A55A-468C-A6FE-092D86780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2017</Words>
  <Characters>10892</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Odair De Castro</dc:creator>
  <cp:keywords/>
  <dc:description/>
  <cp:lastModifiedBy>André Grochovski Pereira de Souza</cp:lastModifiedBy>
  <cp:revision>4</cp:revision>
  <dcterms:created xsi:type="dcterms:W3CDTF">2026-08-28T12:19:00Z</dcterms:created>
  <dcterms:modified xsi:type="dcterms:W3CDTF">2026-08-28T12:30:00Z</dcterms:modified>
</cp:coreProperties>
</file>