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5BFA5" w14:textId="77777777" w:rsidR="003F05FC" w:rsidRDefault="00392634">
      <w:pPr>
        <w:spacing w:line="360" w:lineRule="auto"/>
        <w:ind w:firstLine="30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LEI Nº 2.724, DE 14 DE NOVEMBRO DE 2025.</w:t>
      </w:r>
    </w:p>
    <w:p w14:paraId="6AF5F667" w14:textId="77777777" w:rsidR="003F05FC" w:rsidRDefault="00392634">
      <w:pPr>
        <w:spacing w:before="240" w:after="240" w:line="360" w:lineRule="auto"/>
        <w:ind w:left="216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"DISPÕE SOBRE O PLANO PLURIANUAL DO MUNICÍPIO DE TIMBÓ GRANDE, PARA O PERÍODO DE 2026 a 2029 E DÁ OUTRAS PROVIDÊNCIAS."   </w:t>
      </w:r>
    </w:p>
    <w:p w14:paraId="78FAC8F9" w14:textId="77777777" w:rsidR="003F05FC" w:rsidRDefault="00392634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 PREFEITO MUNICIPAL DE TIMBÓ GRANDE, ESTADO DE SANTA CATARINA</w:t>
      </w:r>
      <w:r>
        <w:rPr>
          <w:rFonts w:ascii="Arial" w:eastAsia="Arial" w:hAnsi="Arial" w:cs="Arial"/>
        </w:rPr>
        <w:t>, no uso de suas atribuições legais, conferidas pelo artigo 103, da Lei</w:t>
      </w:r>
      <w:r>
        <w:rPr>
          <w:rFonts w:ascii="Arial" w:eastAsia="Arial" w:hAnsi="Arial" w:cs="Arial"/>
        </w:rPr>
        <w:t xml:space="preserve"> Orgânica do Município, faz saber que a Câmara de Vereadores de Timbó Grande APROVOU, com EMENDAS e ele SANCIONA a seguinte </w:t>
      </w:r>
      <w:r>
        <w:rPr>
          <w:rFonts w:ascii="Arial" w:eastAsia="Arial" w:hAnsi="Arial" w:cs="Arial"/>
          <w:b/>
          <w:bCs/>
          <w:u w:val="single"/>
        </w:rPr>
        <w:t>LEI ORDINÁRIA</w:t>
      </w:r>
      <w:r>
        <w:rPr>
          <w:rFonts w:ascii="Arial" w:eastAsia="Arial" w:hAnsi="Arial" w:cs="Arial"/>
        </w:rPr>
        <w:t xml:space="preserve">:  </w:t>
      </w:r>
    </w:p>
    <w:p w14:paraId="47FCE687" w14:textId="77777777" w:rsidR="003F05FC" w:rsidRDefault="003926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I</w:t>
      </w:r>
      <w:r>
        <w:rPr>
          <w:rFonts w:ascii="Arial" w:eastAsia="Arial" w:hAnsi="Arial" w:cs="Arial"/>
          <w:b/>
          <w:bCs/>
        </w:rPr>
        <w:br/>
        <w:t>DO PLANEJAMENTO GOVERNAMENTAL E DO PLANO PLURIANUAL</w:t>
      </w:r>
    </w:p>
    <w:p w14:paraId="4C249C70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1º </w:t>
      </w:r>
      <w:r>
        <w:rPr>
          <w:rFonts w:ascii="Arial" w:eastAsia="Arial" w:hAnsi="Arial" w:cs="Arial"/>
        </w:rPr>
        <w:t>Esta Lei institui o Plano Plurianual do Muni</w:t>
      </w:r>
      <w:r>
        <w:rPr>
          <w:rFonts w:ascii="Arial" w:eastAsia="Arial" w:hAnsi="Arial" w:cs="Arial"/>
        </w:rPr>
        <w:t>cípio de Timbó Grande, para o período compreendido entre os exercícios de 2026 a 2029 (PPA 2026-2029), em cumprimento ao disposto no § 1º do art. 165 da Constituição Federal.</w:t>
      </w:r>
    </w:p>
    <w:p w14:paraId="339254E6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único. Constituem anexos a esta Lei:</w:t>
      </w:r>
    </w:p>
    <w:p w14:paraId="0FCFB7BA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– Demonstrativo e detalhamento d</w:t>
      </w:r>
      <w:r>
        <w:rPr>
          <w:rFonts w:ascii="Arial" w:eastAsia="Arial" w:hAnsi="Arial" w:cs="Arial"/>
        </w:rPr>
        <w:t>a previsão da receita para o quadriênio 2026-2029; e</w:t>
      </w:r>
    </w:p>
    <w:p w14:paraId="2EC80894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 – Demonstrativo dos programas e ações dos Poderes Executivo e Legislativo e o resumo das despesas de programas de governo e do resumo das despesas por função para o quadriênio 2026-2029.</w:t>
      </w:r>
    </w:p>
    <w:p w14:paraId="4AFDDD79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2º</w:t>
      </w:r>
      <w:r>
        <w:rPr>
          <w:rFonts w:ascii="Arial" w:eastAsia="Arial" w:hAnsi="Arial" w:cs="Arial"/>
        </w:rPr>
        <w:t xml:space="preserve"> O pla</w:t>
      </w:r>
      <w:r>
        <w:rPr>
          <w:rFonts w:ascii="Arial" w:eastAsia="Arial" w:hAnsi="Arial" w:cs="Arial"/>
        </w:rPr>
        <w:t>nejamento governamental é a atividade que, considerando os diagnósticos e estudos prospectivos, orienta as escolhas das políticas públicas municipais.</w:t>
      </w:r>
    </w:p>
    <w:p w14:paraId="08263E48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3º</w:t>
      </w:r>
      <w:r>
        <w:rPr>
          <w:rFonts w:ascii="Arial" w:eastAsia="Arial" w:hAnsi="Arial" w:cs="Arial"/>
        </w:rPr>
        <w:t xml:space="preserve"> O PPA 2026-2029 é um instrumento de planejamento e uma obrigação constitucional que a União, Esta</w:t>
      </w:r>
      <w:r>
        <w:rPr>
          <w:rFonts w:ascii="Arial" w:eastAsia="Arial" w:hAnsi="Arial" w:cs="Arial"/>
        </w:rPr>
        <w:t xml:space="preserve">dos e Municípios têm de cumprir no primeiro ano de </w:t>
      </w:r>
      <w:r>
        <w:rPr>
          <w:rFonts w:ascii="Arial" w:eastAsia="Arial" w:hAnsi="Arial" w:cs="Arial"/>
        </w:rPr>
        <w:lastRenderedPageBreak/>
        <w:t>governo, com validade até o primeiro ano do próximo governo, que define diretrizes, objetivos e metas com o propósito de organizar e viabilizar a implementação e a gestão das políticas públicas, orientar a</w:t>
      </w:r>
      <w:r>
        <w:rPr>
          <w:rFonts w:ascii="Arial" w:eastAsia="Arial" w:hAnsi="Arial" w:cs="Arial"/>
        </w:rPr>
        <w:t xml:space="preserve"> definição de prioridades e a ação governamental para além de um ano fiscal, possibilitando a execução de um projeto de desenvolvimento de médio e longo prazo, e orientando a definição das prioridades para a elaboração dos orçamentos anuais. </w:t>
      </w:r>
    </w:p>
    <w:p w14:paraId="3E300308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4º</w:t>
      </w:r>
      <w:r>
        <w:rPr>
          <w:rFonts w:ascii="Arial" w:eastAsia="Arial" w:hAnsi="Arial" w:cs="Arial"/>
        </w:rPr>
        <w:t xml:space="preserve"> O PPA</w:t>
      </w:r>
      <w:r>
        <w:rPr>
          <w:rFonts w:ascii="Arial" w:eastAsia="Arial" w:hAnsi="Arial" w:cs="Arial"/>
        </w:rPr>
        <w:t xml:space="preserve"> 2026-2029 terá como diretrizes estratégicas, que serão estruturadas em Programas, os seguintes pontos:</w:t>
      </w:r>
    </w:p>
    <w:p w14:paraId="52F1308F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 - </w:t>
      </w:r>
      <w:proofErr w:type="gramStart"/>
      <w:r>
        <w:rPr>
          <w:rFonts w:ascii="Arial" w:eastAsia="Arial" w:hAnsi="Arial" w:cs="Arial"/>
        </w:rPr>
        <w:t>plano</w:t>
      </w:r>
      <w:proofErr w:type="gramEnd"/>
      <w:r>
        <w:rPr>
          <w:rFonts w:ascii="Arial" w:eastAsia="Arial" w:hAnsi="Arial" w:cs="Arial"/>
        </w:rPr>
        <w:t xml:space="preserve"> diretor;</w:t>
      </w:r>
    </w:p>
    <w:p w14:paraId="09E0B1F3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II - </w:t>
      </w:r>
      <w:proofErr w:type="gramStart"/>
      <w:r>
        <w:rPr>
          <w:rFonts w:ascii="Arial" w:eastAsia="Arial" w:hAnsi="Arial" w:cs="Arial"/>
        </w:rPr>
        <w:t>desenvolvimento</w:t>
      </w:r>
      <w:proofErr w:type="gramEnd"/>
      <w:r>
        <w:rPr>
          <w:rFonts w:ascii="Arial" w:eastAsia="Arial" w:hAnsi="Arial" w:cs="Arial"/>
        </w:rPr>
        <w:t xml:space="preserve"> econômico;</w:t>
      </w:r>
    </w:p>
    <w:p w14:paraId="0C175C25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III - educação pública;</w:t>
      </w:r>
    </w:p>
    <w:p w14:paraId="7736B900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IV - Patrimônio Cultural;</w:t>
      </w:r>
    </w:p>
    <w:p w14:paraId="096432BC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 - </w:t>
      </w:r>
      <w:proofErr w:type="gramStart"/>
      <w:r>
        <w:rPr>
          <w:rFonts w:ascii="Arial" w:eastAsia="Arial" w:hAnsi="Arial" w:cs="Arial"/>
        </w:rPr>
        <w:t>saúde</w:t>
      </w:r>
      <w:proofErr w:type="gramEnd"/>
      <w:r>
        <w:rPr>
          <w:rFonts w:ascii="Arial" w:eastAsia="Arial" w:hAnsi="Arial" w:cs="Arial"/>
        </w:rPr>
        <w:t xml:space="preserve"> pública;</w:t>
      </w:r>
    </w:p>
    <w:p w14:paraId="63FB01FA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VI - </w:t>
      </w:r>
      <w:proofErr w:type="gramStart"/>
      <w:r>
        <w:rPr>
          <w:rFonts w:ascii="Arial" w:eastAsia="Arial" w:hAnsi="Arial" w:cs="Arial"/>
        </w:rPr>
        <w:t>políticas</w:t>
      </w:r>
      <w:proofErr w:type="gramEnd"/>
      <w:r>
        <w:rPr>
          <w:rFonts w:ascii="Arial" w:eastAsia="Arial" w:hAnsi="Arial" w:cs="Arial"/>
        </w:rPr>
        <w:t xml:space="preserve"> sociais;</w:t>
      </w:r>
    </w:p>
    <w:p w14:paraId="2F87D00E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VII - se</w:t>
      </w:r>
      <w:r>
        <w:rPr>
          <w:rFonts w:ascii="Arial" w:eastAsia="Arial" w:hAnsi="Arial" w:cs="Arial"/>
        </w:rPr>
        <w:t>gurança pública;</w:t>
      </w:r>
    </w:p>
    <w:p w14:paraId="084562B6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VIII - mobilidade urbana;</w:t>
      </w:r>
    </w:p>
    <w:p w14:paraId="68E88761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IX - </w:t>
      </w:r>
      <w:proofErr w:type="gramStart"/>
      <w:r>
        <w:rPr>
          <w:rFonts w:ascii="Arial" w:eastAsia="Arial" w:hAnsi="Arial" w:cs="Arial"/>
        </w:rPr>
        <w:t>gestão</w:t>
      </w:r>
      <w:proofErr w:type="gramEnd"/>
      <w:r>
        <w:rPr>
          <w:rFonts w:ascii="Arial" w:eastAsia="Arial" w:hAnsi="Arial" w:cs="Arial"/>
        </w:rPr>
        <w:t xml:space="preserve"> pública;</w:t>
      </w:r>
    </w:p>
    <w:p w14:paraId="3B9E74F9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X - </w:t>
      </w:r>
      <w:proofErr w:type="gramStart"/>
      <w:r>
        <w:rPr>
          <w:rFonts w:ascii="Arial" w:eastAsia="Arial" w:hAnsi="Arial" w:cs="Arial"/>
        </w:rPr>
        <w:t>esporte e lazer</w:t>
      </w:r>
      <w:proofErr w:type="gramEnd"/>
      <w:r>
        <w:rPr>
          <w:rFonts w:ascii="Arial" w:eastAsia="Arial" w:hAnsi="Arial" w:cs="Arial"/>
        </w:rPr>
        <w:t>; e</w:t>
      </w:r>
    </w:p>
    <w:p w14:paraId="48FA3B0A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XI - estímulo ao crescimento da economia de geração de renda e oportunidades.</w:t>
      </w:r>
    </w:p>
    <w:p w14:paraId="42B7CC85" w14:textId="77777777" w:rsidR="003F05FC" w:rsidRDefault="003926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II</w:t>
      </w:r>
      <w:r>
        <w:rPr>
          <w:rFonts w:ascii="Arial" w:eastAsia="Arial" w:hAnsi="Arial" w:cs="Arial"/>
          <w:b/>
          <w:bCs/>
        </w:rPr>
        <w:br/>
        <w:t>DA ESTRUTURA E ORGANIZAÇÃO DO PLANO</w:t>
      </w:r>
    </w:p>
    <w:p w14:paraId="202DD4A6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 xml:space="preserve">Art. 5º </w:t>
      </w:r>
      <w:r>
        <w:rPr>
          <w:rFonts w:ascii="Arial" w:eastAsia="Arial" w:hAnsi="Arial" w:cs="Arial"/>
        </w:rPr>
        <w:t xml:space="preserve">O PPA 2026-2029 do município de Timbó Grande, compreendendo os órgãos da administração direta e indireta, está ordenado na atuação do Governo Municipal sob a forma de programas, agregando-os, por ações (projetos e atividades), objetivando, assim, o melhor </w:t>
      </w:r>
      <w:r>
        <w:rPr>
          <w:rFonts w:ascii="Arial" w:eastAsia="Arial" w:hAnsi="Arial" w:cs="Arial"/>
        </w:rPr>
        <w:t>resultado da administração pública municipal, com maior transparência na aplicação dos recursos públicos e na integração e compatibilização dos instrumentos básicos de planejamento, orçamento e gestão.</w:t>
      </w:r>
    </w:p>
    <w:p w14:paraId="19439EFA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6º</w:t>
      </w:r>
      <w:r>
        <w:rPr>
          <w:rFonts w:ascii="Arial" w:eastAsia="Arial" w:hAnsi="Arial" w:cs="Arial"/>
        </w:rPr>
        <w:t xml:space="preserve"> Os programas constantes do PPA 2026-2029 estar</w:t>
      </w:r>
      <w:r>
        <w:rPr>
          <w:rFonts w:ascii="Arial" w:eastAsia="Arial" w:hAnsi="Arial" w:cs="Arial"/>
        </w:rPr>
        <w:t>ão expressos na lei de diretrizes orçamentárias e na lei orçamentária anual.</w:t>
      </w:r>
    </w:p>
    <w:p w14:paraId="523698E9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único. As ações orçamentárias serão discriminadas na lei orçamentária anual.</w:t>
      </w:r>
    </w:p>
    <w:p w14:paraId="13951669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7º </w:t>
      </w:r>
      <w:r>
        <w:rPr>
          <w:rFonts w:ascii="Arial" w:eastAsia="Arial" w:hAnsi="Arial" w:cs="Arial"/>
        </w:rPr>
        <w:t xml:space="preserve">O valor global dos programas e das ações não são limites à programação e à execução </w:t>
      </w:r>
      <w:r>
        <w:rPr>
          <w:rFonts w:ascii="Arial" w:eastAsia="Arial" w:hAnsi="Arial" w:cs="Arial"/>
        </w:rPr>
        <w:t>das despesas expressas na lei orçamentária e na lei de crédito adicional.</w:t>
      </w:r>
    </w:p>
    <w:p w14:paraId="598985F9" w14:textId="77777777" w:rsidR="003F05FC" w:rsidRDefault="003926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CAPÍTULO III</w:t>
      </w:r>
      <w:r>
        <w:rPr>
          <w:rFonts w:ascii="Arial" w:eastAsia="Arial" w:hAnsi="Arial" w:cs="Arial"/>
          <w:b/>
          <w:bCs/>
        </w:rPr>
        <w:br/>
        <w:t>DA GESTÃO DO PLANO</w:t>
      </w:r>
    </w:p>
    <w:p w14:paraId="0BE57468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8º</w:t>
      </w:r>
      <w:r>
        <w:rPr>
          <w:rFonts w:ascii="Arial" w:eastAsia="Arial" w:hAnsi="Arial" w:cs="Arial"/>
        </w:rPr>
        <w:t xml:space="preserve"> A gestão do PPA 2026-2029 consiste na articulação dos meios necessários para viabilizar a consecução das suas metas, sobretudo para a garantia</w:t>
      </w:r>
      <w:r>
        <w:rPr>
          <w:rFonts w:ascii="Arial" w:eastAsia="Arial" w:hAnsi="Arial" w:cs="Arial"/>
        </w:rPr>
        <w:t xml:space="preserve"> de acesso dos segmentos populacionais mais carentes às políticas públicas, na busca do aperfeiçoamento:</w:t>
      </w:r>
    </w:p>
    <w:p w14:paraId="7CAF702D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 - </w:t>
      </w:r>
      <w:proofErr w:type="gramStart"/>
      <w:r>
        <w:rPr>
          <w:rFonts w:ascii="Arial" w:eastAsia="Arial" w:hAnsi="Arial" w:cs="Arial"/>
        </w:rPr>
        <w:t>dos</w:t>
      </w:r>
      <w:proofErr w:type="gramEnd"/>
      <w:r>
        <w:rPr>
          <w:rFonts w:ascii="Arial" w:eastAsia="Arial" w:hAnsi="Arial" w:cs="Arial"/>
        </w:rPr>
        <w:t xml:space="preserve"> mecanismos de implementação e integração das políticas públicas;</w:t>
      </w:r>
    </w:p>
    <w:p w14:paraId="716F699A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II - </w:t>
      </w:r>
      <w:proofErr w:type="gramStart"/>
      <w:r>
        <w:rPr>
          <w:rFonts w:ascii="Arial" w:eastAsia="Arial" w:hAnsi="Arial" w:cs="Arial"/>
        </w:rPr>
        <w:t>dos</w:t>
      </w:r>
      <w:proofErr w:type="gramEnd"/>
      <w:r>
        <w:rPr>
          <w:rFonts w:ascii="Arial" w:eastAsia="Arial" w:hAnsi="Arial" w:cs="Arial"/>
        </w:rPr>
        <w:t xml:space="preserve"> critérios de regionalização das políticas públicas; e</w:t>
      </w:r>
    </w:p>
    <w:p w14:paraId="5A333181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III - dos mecan</w:t>
      </w:r>
      <w:r>
        <w:rPr>
          <w:rFonts w:ascii="Arial" w:eastAsia="Arial" w:hAnsi="Arial" w:cs="Arial"/>
        </w:rPr>
        <w:t>ismos de monitoramento, avaliação e revisão do PPA 2026-2029.</w:t>
      </w:r>
    </w:p>
    <w:p w14:paraId="78FF05BD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Parágrafo único. Caberá à Secretaria de Administração e Finanças definir os prazos, as diretrizes e as orientações técnicas complementares para a gestão do PPA 2026-2029.</w:t>
      </w:r>
    </w:p>
    <w:p w14:paraId="6A8C28BB" w14:textId="77777777" w:rsidR="003F05FC" w:rsidRDefault="003926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CAPÍTULO IV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  <w:b/>
          <w:bCs/>
        </w:rPr>
        <w:t>DAS DISPOSIÇÕES GERAIS</w:t>
      </w:r>
    </w:p>
    <w:p w14:paraId="1E037E8E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9º.</w:t>
      </w:r>
      <w:r>
        <w:rPr>
          <w:rFonts w:ascii="Arial" w:eastAsia="Arial" w:hAnsi="Arial" w:cs="Arial"/>
        </w:rPr>
        <w:t xml:space="preserve"> Fica autorizado o Chefe do Poder Executivo Municipal a propor ajustes ao Plano Plurianual exclusivamente por meio de lei específica, com vistas à compatibilização com a Lei de Diretrizes Orçamentárias e o Orçamento Anual dos</w:t>
      </w:r>
      <w:r>
        <w:rPr>
          <w:rFonts w:ascii="Arial" w:eastAsia="Arial" w:hAnsi="Arial" w:cs="Arial"/>
        </w:rPr>
        <w:t xml:space="preserve"> respectivos exercícios.</w:t>
      </w:r>
    </w:p>
    <w:p w14:paraId="071AC14A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Art. 10. </w:t>
      </w:r>
      <w:r>
        <w:rPr>
          <w:rFonts w:ascii="Arial" w:eastAsia="Arial" w:hAnsi="Arial" w:cs="Arial"/>
        </w:rPr>
        <w:t>Fica autorizado o Chefe do Poder Executivo Municipal, se necessário, corrigir os valores constantes dos anexos de Receita e Despesa do respectivo Plano Plurianual, para comporem a Lei de Diretrizes Orçamentária e o Orçamen</w:t>
      </w:r>
      <w:r>
        <w:rPr>
          <w:rFonts w:ascii="Arial" w:eastAsia="Arial" w:hAnsi="Arial" w:cs="Arial"/>
        </w:rPr>
        <w:t>to Fiscal dos respectivos exercícios.</w:t>
      </w:r>
    </w:p>
    <w:p w14:paraId="2875F419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11</w:t>
      </w:r>
      <w:r>
        <w:rPr>
          <w:rFonts w:ascii="Arial" w:eastAsia="Arial" w:hAnsi="Arial" w:cs="Arial"/>
        </w:rPr>
        <w:t>. Fica autorizado o Chefe do Poder Executivo Municipal a propor, por meio de lei específica, a inclusão ou exclusão de ações – Projetos ou Atividades – no Plano Plurianual, desde que devidamente justificadas e c</w:t>
      </w:r>
      <w:r>
        <w:rPr>
          <w:rFonts w:ascii="Arial" w:eastAsia="Arial" w:hAnsi="Arial" w:cs="Arial"/>
        </w:rPr>
        <w:t>ompatíveis com os programas definidos, respeitando os limites legais e orçamentários vigentes.</w:t>
      </w:r>
    </w:p>
    <w:p w14:paraId="5022301C" w14:textId="77777777" w:rsidR="003F05FC" w:rsidRDefault="00392634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Art. 12.</w:t>
      </w:r>
      <w:r>
        <w:rPr>
          <w:rFonts w:ascii="Arial" w:eastAsia="Arial" w:hAnsi="Arial" w:cs="Arial"/>
        </w:rPr>
        <w:t xml:space="preserve"> Esta Lei entra em vigor na data de sua </w:t>
      </w:r>
      <w:proofErr w:type="gramStart"/>
      <w:r>
        <w:rPr>
          <w:rFonts w:ascii="Arial" w:eastAsia="Arial" w:hAnsi="Arial" w:cs="Arial"/>
        </w:rPr>
        <w:t>publicação,  produzindo</w:t>
      </w:r>
      <w:proofErr w:type="gramEnd"/>
      <w:r>
        <w:rPr>
          <w:rFonts w:ascii="Arial" w:eastAsia="Arial" w:hAnsi="Arial" w:cs="Arial"/>
        </w:rPr>
        <w:t xml:space="preserve"> efeitos a partir de 1º de janeiro de 2026.</w:t>
      </w:r>
    </w:p>
    <w:p w14:paraId="4A9C7185" w14:textId="77777777" w:rsidR="003F05FC" w:rsidRDefault="00392634">
      <w:pPr>
        <w:spacing w:before="240" w:after="240" w:line="360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Timbó Grande, 14 de novembro de 2025.</w:t>
      </w:r>
    </w:p>
    <w:p w14:paraId="6EBBE2DD" w14:textId="77777777" w:rsidR="003F05FC" w:rsidRDefault="003926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38FB398A" w14:textId="77777777" w:rsidR="003F05FC" w:rsidRDefault="00392634">
      <w:pPr>
        <w:spacing w:before="240" w:after="240" w:line="36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Ari Jo</w:t>
      </w:r>
      <w:r>
        <w:rPr>
          <w:rFonts w:ascii="Arial" w:eastAsia="Arial" w:hAnsi="Arial" w:cs="Arial"/>
          <w:b/>
          <w:bCs/>
        </w:rPr>
        <w:t>sé Galeski</w:t>
      </w:r>
      <w:r>
        <w:rPr>
          <w:rFonts w:ascii="Arial" w:eastAsia="Arial" w:hAnsi="Arial" w:cs="Arial"/>
          <w:b/>
          <w:bCs/>
        </w:rPr>
        <w:br/>
        <w:t xml:space="preserve"> Prefeito Municipal </w:t>
      </w:r>
    </w:p>
    <w:sectPr w:rsidR="003F05FC">
      <w:headerReference w:type="default" r:id="rId7"/>
      <w:footerReference w:type="default" r:id="rId8"/>
      <w:pgSz w:w="11906" w:h="16838"/>
      <w:pgMar w:top="1417" w:right="1274" w:bottom="1417" w:left="1560" w:header="28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E4CB7" w14:textId="77777777" w:rsidR="00392634" w:rsidRDefault="00392634">
      <w:r>
        <w:separator/>
      </w:r>
    </w:p>
  </w:endnote>
  <w:endnote w:type="continuationSeparator" w:id="0">
    <w:p w14:paraId="2F59B4E3" w14:textId="77777777" w:rsidR="00392634" w:rsidRDefault="0039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CFDC6414-CEA6-427F-9859-B8B94CDFE90D}"/>
    <w:embedItalic r:id="rId2" w:fontKey="{838792BC-8949-48A6-B35D-AF405D49B4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4EC9ACD-87A3-465C-9DE6-248D840B03B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FB82DF8-FCAF-49EC-9205-23550CEE7F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BFDD" w14:textId="77777777" w:rsidR="003F05FC" w:rsidRDefault="00392634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  <w:sz w:val="14"/>
        <w:szCs w:val="14"/>
      </w:rPr>
    </w:pPr>
    <w:r>
      <w:rPr>
        <w:rFonts w:ascii="Arial" w:eastAsia="Arial" w:hAnsi="Arial" w:cs="Arial"/>
        <w:color w:val="000000"/>
        <w:sz w:val="14"/>
        <w:szCs w:val="14"/>
      </w:rPr>
      <w:fldChar w:fldCharType="begin"/>
    </w:r>
    <w:r>
      <w:rPr>
        <w:rFonts w:ascii="Arial" w:eastAsia="Arial" w:hAnsi="Arial" w:cs="Arial"/>
        <w:color w:val="000000"/>
        <w:sz w:val="14"/>
        <w:szCs w:val="14"/>
      </w:rPr>
      <w:instrText>PAGE</w:instrText>
    </w:r>
    <w:r>
      <w:rPr>
        <w:rFonts w:ascii="Arial" w:eastAsia="Arial" w:hAnsi="Arial" w:cs="Arial"/>
        <w:color w:val="000000"/>
        <w:sz w:val="14"/>
        <w:szCs w:val="14"/>
      </w:rPr>
      <w:fldChar w:fldCharType="separate"/>
    </w:r>
    <w:r w:rsidR="005A2D19">
      <w:rPr>
        <w:rFonts w:ascii="Arial" w:eastAsia="Arial" w:hAnsi="Arial" w:cs="Arial"/>
        <w:noProof/>
        <w:color w:val="000000"/>
        <w:sz w:val="14"/>
        <w:szCs w:val="14"/>
      </w:rPr>
      <w:t>1</w:t>
    </w:r>
    <w:r>
      <w:rPr>
        <w:rFonts w:ascii="Arial" w:eastAsia="Arial" w:hAnsi="Arial" w:cs="Arial"/>
        <w:color w:val="000000"/>
        <w:sz w:val="14"/>
        <w:szCs w:val="14"/>
      </w:rPr>
      <w:fldChar w:fldCharType="end"/>
    </w:r>
    <w:r>
      <w:rPr>
        <w:rFonts w:ascii="Arial" w:eastAsia="Arial" w:hAnsi="Arial" w:cs="Arial"/>
        <w:color w:val="000000"/>
        <w:sz w:val="14"/>
        <w:szCs w:val="14"/>
      </w:rPr>
      <w:t xml:space="preserve"> de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5A2D19">
      <w:rPr>
        <w:noProof/>
        <w:color w:val="000000"/>
      </w:rPr>
      <w:t>2</w:t>
    </w:r>
    <w:r>
      <w:rPr>
        <w:color w:val="000000"/>
      </w:rPr>
      <w:fldChar w:fldCharType="end"/>
    </w:r>
  </w:p>
  <w:p w14:paraId="34036BD6" w14:textId="77777777" w:rsidR="003F05FC" w:rsidRDefault="003F05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8"/>
        <w:szCs w:val="8"/>
      </w:rPr>
    </w:pPr>
  </w:p>
  <w:p w14:paraId="024CAF9C" w14:textId="77777777" w:rsidR="003F05FC" w:rsidRDefault="003926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360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t>Rua Prefeito Argemiro Guedes dos Santos</w:t>
    </w:r>
    <w:r>
      <w:rPr>
        <w:rFonts w:ascii="Arial" w:eastAsia="Arial" w:hAnsi="Arial" w:cs="Arial"/>
        <w:color w:val="000000"/>
        <w:sz w:val="16"/>
        <w:szCs w:val="16"/>
      </w:rPr>
      <w:t>, 3</w:t>
    </w:r>
    <w:r>
      <w:rPr>
        <w:rFonts w:ascii="Arial" w:eastAsia="Arial" w:hAnsi="Arial" w:cs="Arial"/>
        <w:sz w:val="16"/>
        <w:szCs w:val="16"/>
      </w:rPr>
      <w:t>85</w:t>
    </w:r>
    <w:r>
      <w:rPr>
        <w:rFonts w:ascii="Arial" w:eastAsia="Arial" w:hAnsi="Arial" w:cs="Arial"/>
        <w:color w:val="000000"/>
        <w:sz w:val="16"/>
        <w:szCs w:val="16"/>
      </w:rPr>
      <w:t>, C</w:t>
    </w:r>
    <w:r>
      <w:rPr>
        <w:rFonts w:ascii="Arial" w:eastAsia="Arial" w:hAnsi="Arial" w:cs="Arial"/>
        <w:sz w:val="16"/>
        <w:szCs w:val="16"/>
      </w:rPr>
      <w:t>entro</w:t>
    </w:r>
    <w:r>
      <w:rPr>
        <w:rFonts w:ascii="Arial" w:eastAsia="Arial" w:hAnsi="Arial" w:cs="Arial"/>
        <w:color w:val="000000"/>
        <w:sz w:val="16"/>
        <w:szCs w:val="16"/>
      </w:rPr>
      <w:t>, Timbó Grande - SC, CEP 89545-000</w:t>
    </w:r>
  </w:p>
  <w:p w14:paraId="52F9B65B" w14:textId="77777777" w:rsidR="003F05FC" w:rsidRDefault="003926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Fone (49) 3540-0199 – www.timbogrande.sc.gov.br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78291" w14:textId="77777777" w:rsidR="00392634" w:rsidRDefault="00392634">
      <w:r>
        <w:separator/>
      </w:r>
    </w:p>
  </w:footnote>
  <w:footnote w:type="continuationSeparator" w:id="0">
    <w:p w14:paraId="4C633FFA" w14:textId="77777777" w:rsidR="00392634" w:rsidRDefault="00392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4362A" w14:textId="77777777" w:rsidR="003F05FC" w:rsidRDefault="0039263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993" w:right="-851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2CEB40CD" wp14:editId="5821D30F">
          <wp:extent cx="6518687" cy="1988007"/>
          <wp:effectExtent l="0" t="0" r="0" b="0"/>
          <wp:docPr id="119115307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18687" cy="19880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5FC"/>
    <w:rsid w:val="00392634"/>
    <w:rsid w:val="003F05FC"/>
    <w:rsid w:val="005A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E098"/>
  <w15:docId w15:val="{0F9939AC-934A-45F1-A001-E17AD6D7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SimSun" w:eastAsia="SimSun" w:hAnsi="SimSun" w:cs="SimSun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jc w:val="center"/>
    </w:pPr>
    <w:rPr>
      <w:b/>
      <w:bCs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d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e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d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ffe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link w:val="CorpodetextoChar"/>
    <w:qFormat/>
    <w:pPr>
      <w:spacing w:after="120"/>
    </w:pPr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rFonts w:eastAsia="SimSun"/>
      <w:lang w:val="en-US" w:eastAsia="zh-CN"/>
    </w:rPr>
  </w:style>
  <w:style w:type="paragraph" w:styleId="TextosemFormatao">
    <w:name w:val="Plain Text"/>
    <w:link w:val="TextosemFormataoChar"/>
    <w:unhideWhenUsed/>
    <w:qFormat/>
    <w:rPr>
      <w:rFonts w:ascii="Courier New" w:hAnsi="Courier New"/>
      <w:sz w:val="20"/>
      <w:szCs w:val="20"/>
    </w:rPr>
  </w:style>
  <w:style w:type="paragraph" w:styleId="Cabealho">
    <w:name w:val="header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">
    <w:name w:val="Body Text Indent"/>
    <w:link w:val="RecuodecorpodetextoChar"/>
    <w:unhideWhenUsed/>
    <w:qFormat/>
    <w:pPr>
      <w:ind w:firstLine="1440"/>
      <w:jc w:val="both"/>
    </w:pPr>
    <w:rPr>
      <w:rFonts w:ascii="Arial" w:hAnsi="Arial"/>
    </w:rPr>
  </w:style>
  <w:style w:type="character" w:customStyle="1" w:styleId="CabealhoChar">
    <w:name w:val="Cabeçalho Char"/>
    <w:link w:val="Cabealho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1">
    <w:name w:val="Cabeçalho Char1"/>
    <w:basedOn w:val="Fontepargpadro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link w:val="Rodap"/>
    <w:uiPriority w:val="99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A070770">
    <w:name w:val="_A070770"/>
    <w:qFormat/>
    <w:pPr>
      <w:widowControl w:val="0"/>
      <w:ind w:left="864" w:right="576"/>
      <w:jc w:val="both"/>
    </w:pPr>
    <w:rPr>
      <w:color w:val="000000"/>
      <w:szCs w:val="20"/>
    </w:rPr>
  </w:style>
  <w:style w:type="paragraph" w:customStyle="1" w:styleId="A141070">
    <w:name w:val="_A141070"/>
    <w:qFormat/>
    <w:pPr>
      <w:widowControl w:val="0"/>
      <w:ind w:left="1296" w:right="576" w:firstLine="576"/>
      <w:jc w:val="both"/>
    </w:pPr>
    <w:rPr>
      <w:color w:val="000000"/>
      <w:szCs w:val="20"/>
    </w:rPr>
  </w:style>
  <w:style w:type="paragraph" w:customStyle="1" w:styleId="A121070">
    <w:name w:val="_A121070"/>
    <w:qFormat/>
    <w:pPr>
      <w:widowControl w:val="0"/>
      <w:ind w:left="1296" w:firstLine="288"/>
      <w:jc w:val="both"/>
    </w:pPr>
    <w:rPr>
      <w:color w:val="000000"/>
      <w:szCs w:val="20"/>
    </w:rPr>
  </w:style>
  <w:style w:type="paragraph" w:customStyle="1" w:styleId="A171070">
    <w:name w:val="_A171070"/>
    <w:qFormat/>
    <w:pPr>
      <w:widowControl w:val="0"/>
      <w:ind w:left="1296" w:firstLine="1008"/>
      <w:jc w:val="both"/>
    </w:pPr>
    <w:rPr>
      <w:color w:val="000000"/>
      <w:szCs w:val="20"/>
    </w:rPr>
  </w:style>
  <w:style w:type="character" w:customStyle="1" w:styleId="TtuloChar">
    <w:name w:val="Título Char"/>
    <w:basedOn w:val="Fontepargpadro"/>
    <w:qFormat/>
    <w:rPr>
      <w:rFonts w:ascii="Times New Roman" w:eastAsia="Times New Roman" w:hAnsi="Times New Roman" w:cs="Times New Roman"/>
      <w:b/>
      <w:bCs/>
      <w:sz w:val="24"/>
      <w:szCs w:val="24"/>
      <w:lang w:val="es-PY" w:eastAsia="pt-BR"/>
    </w:rPr>
  </w:style>
  <w:style w:type="character" w:customStyle="1" w:styleId="CorpodetextoChar">
    <w:name w:val="Corpo de texto Char"/>
    <w:basedOn w:val="Fontepargpadro"/>
    <w:link w:val="Corpodetext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uiPriority w:val="1"/>
    <w:qFormat/>
    <w:rPr>
      <w:rFonts w:ascii="Georgia" w:eastAsia="Georgia" w:hAnsi="Georgia" w:cs="Georgia"/>
      <w:lang w:val="pt-PT" w:eastAsia="en-US"/>
    </w:rPr>
  </w:style>
  <w:style w:type="table" w:customStyle="1" w:styleId="a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ffa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ff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0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1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2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3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4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5">
    <w:basedOn w:val="TableNormalff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TdKMSrAKuv/bqJxnjwS6xzDPdw==">CgMxLjA4AHIhMUFoTjk3WFVHbVhqZEdpWVlpT3M2cWJmSkJSanVrVXIz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4128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G. Pereira de Souza</dc:creator>
  <cp:lastModifiedBy>Rodrigo Rodrigues</cp:lastModifiedBy>
  <cp:revision>2</cp:revision>
  <dcterms:created xsi:type="dcterms:W3CDTF">2026-03-06T14:46:00Z</dcterms:created>
  <dcterms:modified xsi:type="dcterms:W3CDTF">2026-03-06T14:46:00Z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1046-12.2.0.19805</vt:lpwstr>
  </property>
  <property fmtid="{D5CDD505-2E9C-101B-9397-08002B2CF9AE}" pid="3" name="ICV">
    <vt:lpwstr>60FCB7D0DC5140E2B738CA7EB6EDCABF_13</vt:lpwstr>
  </property>
</Properties>
</file>