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8485" w14:textId="77777777" w:rsidR="00604D12" w:rsidRDefault="00887334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LEI Nº 2.749, DE 11 DE DEZEMBRO DE 2025.</w:t>
      </w:r>
    </w:p>
    <w:p w14:paraId="62C8A560" w14:textId="77777777" w:rsidR="00604D12" w:rsidRDefault="00887334">
      <w:pPr>
        <w:spacing w:before="240" w:after="240" w:line="360" w:lineRule="auto"/>
        <w:ind w:left="216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"</w:t>
      </w:r>
      <w:r>
        <w:rPr>
          <w:rFonts w:ascii="Arial" w:eastAsia="Arial" w:hAnsi="Arial" w:cs="Arial"/>
          <w:b/>
          <w:bCs/>
          <w:highlight w:val="white"/>
        </w:rPr>
        <w:t>DISPÕE SOBRE AS DIRETRIZES ORÇAMENTÁRIAS DO MUNICÍPIO DE TIMBÓ GRANDE, PARA O EXERCÍCIO DE 2026 E DÁ OUTRAS PROVIDÊNCIAS</w:t>
      </w:r>
      <w:r>
        <w:rPr>
          <w:rFonts w:ascii="Arial" w:eastAsia="Arial" w:hAnsi="Arial" w:cs="Arial"/>
          <w:b/>
          <w:bCs/>
        </w:rPr>
        <w:t xml:space="preserve">."   </w:t>
      </w:r>
    </w:p>
    <w:p w14:paraId="467D4385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 PREFEITO MUNICIPAL DE TIMBÓ GRANDE, ESTADO DE SANTA CATARINA</w:t>
      </w:r>
      <w:r>
        <w:rPr>
          <w:rFonts w:ascii="Arial" w:eastAsia="Arial" w:hAnsi="Arial" w:cs="Arial"/>
        </w:rPr>
        <w:t xml:space="preserve">, no uso de suas atribuições legais, conferidas pelo artigo 103, da </w:t>
      </w:r>
      <w:r>
        <w:rPr>
          <w:rFonts w:ascii="Arial" w:eastAsia="Arial" w:hAnsi="Arial" w:cs="Arial"/>
        </w:rPr>
        <w:t xml:space="preserve">Lei Orgânica do Município, faz saber que a Câmara de Vereadores de Timbó Grande APROVOU e ele SANCIONA a seguinte </w:t>
      </w:r>
      <w:r>
        <w:rPr>
          <w:rFonts w:ascii="Arial" w:eastAsia="Arial" w:hAnsi="Arial" w:cs="Arial"/>
          <w:b/>
          <w:bCs/>
          <w:u w:val="single"/>
        </w:rPr>
        <w:t>LEI ORDINÁRIA</w:t>
      </w:r>
      <w:r>
        <w:rPr>
          <w:rFonts w:ascii="Arial" w:eastAsia="Arial" w:hAnsi="Arial" w:cs="Arial"/>
        </w:rPr>
        <w:t xml:space="preserve">:  </w:t>
      </w:r>
    </w:p>
    <w:p w14:paraId="4E941185" w14:textId="77777777" w:rsidR="00604D12" w:rsidRDefault="00604D12">
      <w:pPr>
        <w:spacing w:line="360" w:lineRule="auto"/>
        <w:jc w:val="both"/>
        <w:rPr>
          <w:rFonts w:ascii="Arial" w:eastAsia="Arial" w:hAnsi="Arial" w:cs="Arial"/>
        </w:rPr>
      </w:pPr>
    </w:p>
    <w:p w14:paraId="2170EABE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</w:t>
      </w:r>
    </w:p>
    <w:p w14:paraId="03EA432F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DAS DISPOSIÇÕES PRELIMINARES</w:t>
      </w:r>
    </w:p>
    <w:p w14:paraId="4D20127A" w14:textId="77777777" w:rsidR="00604D12" w:rsidRDefault="00604D12">
      <w:pPr>
        <w:spacing w:line="360" w:lineRule="auto"/>
        <w:jc w:val="both"/>
        <w:rPr>
          <w:rFonts w:ascii="Arial" w:eastAsia="Arial" w:hAnsi="Arial" w:cs="Arial"/>
        </w:rPr>
      </w:pPr>
    </w:p>
    <w:p w14:paraId="6271B932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1º</w:t>
      </w:r>
      <w:r>
        <w:rPr>
          <w:rFonts w:ascii="Arial" w:eastAsia="Arial" w:hAnsi="Arial" w:cs="Arial"/>
        </w:rPr>
        <w:t xml:space="preserve"> Ficam estabelecidas as metas, os objetivos e as prioridades da Administraçã</w:t>
      </w:r>
      <w:r>
        <w:rPr>
          <w:rFonts w:ascii="Arial" w:eastAsia="Arial" w:hAnsi="Arial" w:cs="Arial"/>
        </w:rPr>
        <w:t>o Pública Municipal para o exercício de 2026, inclusive as orientações para a elaboração, execução e o acompanhamento do orçamento, compreendendo:</w:t>
      </w:r>
    </w:p>
    <w:p w14:paraId="3FDA9C10" w14:textId="77777777" w:rsidR="00604D12" w:rsidRDefault="00604D12">
      <w:pPr>
        <w:spacing w:line="360" w:lineRule="auto"/>
        <w:jc w:val="both"/>
        <w:rPr>
          <w:rFonts w:ascii="Arial" w:eastAsia="Arial" w:hAnsi="Arial" w:cs="Arial"/>
        </w:rPr>
      </w:pPr>
    </w:p>
    <w:p w14:paraId="40A1F70A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- </w:t>
      </w:r>
      <w:proofErr w:type="gramStart"/>
      <w:r>
        <w:rPr>
          <w:rFonts w:ascii="Arial" w:eastAsia="Arial" w:hAnsi="Arial" w:cs="Arial"/>
        </w:rPr>
        <w:t>as</w:t>
      </w:r>
      <w:proofErr w:type="gramEnd"/>
      <w:r>
        <w:rPr>
          <w:rFonts w:ascii="Arial" w:eastAsia="Arial" w:hAnsi="Arial" w:cs="Arial"/>
        </w:rPr>
        <w:t xml:space="preserve"> metas e prioridades da Administração Pública Municipal, de acordo com o Plano Plurianual 2026-2029;</w:t>
      </w:r>
    </w:p>
    <w:p w14:paraId="208F23AF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 xml:space="preserve">I -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organização e estrutura dos orçamentos;</w:t>
      </w:r>
    </w:p>
    <w:p w14:paraId="2E58BD61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III - as diretrizes gerais para a elaboração e a execução dos orçamentos do Município, e suas alterações;</w:t>
      </w:r>
    </w:p>
    <w:p w14:paraId="1D65ECAF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IV - </w:t>
      </w:r>
      <w:proofErr w:type="gramStart"/>
      <w:r>
        <w:rPr>
          <w:rFonts w:ascii="Arial" w:eastAsia="Arial" w:hAnsi="Arial" w:cs="Arial"/>
        </w:rPr>
        <w:t>as</w:t>
      </w:r>
      <w:proofErr w:type="gramEnd"/>
      <w:r>
        <w:rPr>
          <w:rFonts w:ascii="Arial" w:eastAsia="Arial" w:hAnsi="Arial" w:cs="Arial"/>
        </w:rPr>
        <w:t xml:space="preserve"> disposições sobre dívida pública;</w:t>
      </w:r>
    </w:p>
    <w:p w14:paraId="6A35C31F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 - </w:t>
      </w:r>
      <w:proofErr w:type="gramStart"/>
      <w:r>
        <w:rPr>
          <w:rFonts w:ascii="Arial" w:eastAsia="Arial" w:hAnsi="Arial" w:cs="Arial"/>
        </w:rPr>
        <w:t>as</w:t>
      </w:r>
      <w:proofErr w:type="gramEnd"/>
      <w:r>
        <w:rPr>
          <w:rFonts w:ascii="Arial" w:eastAsia="Arial" w:hAnsi="Arial" w:cs="Arial"/>
        </w:rPr>
        <w:t xml:space="preserve"> disposições sobre despesas com pessoal e encargos socia</w:t>
      </w:r>
      <w:r>
        <w:rPr>
          <w:rFonts w:ascii="Arial" w:eastAsia="Arial" w:hAnsi="Arial" w:cs="Arial"/>
        </w:rPr>
        <w:t>is;</w:t>
      </w:r>
    </w:p>
    <w:p w14:paraId="2B8B7C64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 - </w:t>
      </w:r>
      <w:proofErr w:type="gramStart"/>
      <w:r>
        <w:rPr>
          <w:rFonts w:ascii="Arial" w:eastAsia="Arial" w:hAnsi="Arial" w:cs="Arial"/>
        </w:rPr>
        <w:t>as</w:t>
      </w:r>
      <w:proofErr w:type="gramEnd"/>
      <w:r>
        <w:rPr>
          <w:rFonts w:ascii="Arial" w:eastAsia="Arial" w:hAnsi="Arial" w:cs="Arial"/>
        </w:rPr>
        <w:t xml:space="preserve"> disposições sobre alterações na legislação tributária;</w:t>
      </w:r>
    </w:p>
    <w:p w14:paraId="212FD309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VII - as disposições gerais e finais.</w:t>
      </w:r>
    </w:p>
    <w:p w14:paraId="42BFB76B" w14:textId="77777777" w:rsidR="00604D12" w:rsidRDefault="00604D12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</w:p>
    <w:p w14:paraId="4FEC51B9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II</w:t>
      </w:r>
    </w:p>
    <w:p w14:paraId="3807F57B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DAS METAS E PRIORIDADES DA ADMINISTRAÇÃO PÚBLICA MUNICIPAL</w:t>
      </w:r>
    </w:p>
    <w:p w14:paraId="24615045" w14:textId="77777777" w:rsidR="00604D12" w:rsidRDefault="00604D12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44511FB6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2º </w:t>
      </w:r>
      <w:r>
        <w:rPr>
          <w:rFonts w:ascii="Arial" w:eastAsia="Arial" w:hAnsi="Arial" w:cs="Arial"/>
        </w:rPr>
        <w:t>As metas e prioridades da Administração para o exercício financeiro de</w:t>
      </w:r>
      <w:r>
        <w:rPr>
          <w:rFonts w:ascii="Arial" w:eastAsia="Arial" w:hAnsi="Arial" w:cs="Arial"/>
        </w:rPr>
        <w:t xml:space="preserve"> 2026 são as especificadas no Anexo Relatório das Metas e Demonstrativo de Despesas podendo, na medida das necessidades, serem incluídos novos programas, desde que previstos no Plano Plurianual.</w:t>
      </w:r>
    </w:p>
    <w:p w14:paraId="773A6F3E" w14:textId="77777777" w:rsidR="00604D12" w:rsidRDefault="00604D12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17CA8D78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§ 1º </w:t>
      </w:r>
      <w:r>
        <w:rPr>
          <w:rFonts w:ascii="Arial" w:eastAsia="Arial" w:hAnsi="Arial" w:cs="Arial"/>
        </w:rPr>
        <w:t>Os recursos estimados na Lei Orçamentária Anual (LOA) s</w:t>
      </w:r>
      <w:r>
        <w:rPr>
          <w:rFonts w:ascii="Arial" w:eastAsia="Arial" w:hAnsi="Arial" w:cs="Arial"/>
        </w:rPr>
        <w:t>erão destinados, preferencialmente, para as prioridades estabelecidas no Anexo referido no caput, não se constituindo em limite à programação das despesas.</w:t>
      </w:r>
    </w:p>
    <w:p w14:paraId="50A1F674" w14:textId="77777777" w:rsidR="00604D12" w:rsidRDefault="00604D12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7078B361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§ 2º </w:t>
      </w:r>
      <w:r>
        <w:rPr>
          <w:rFonts w:ascii="Arial" w:eastAsia="Arial" w:hAnsi="Arial" w:cs="Arial"/>
        </w:rPr>
        <w:t>Na elaboração da proposta orçamentária para 2026, o Poder Executivo poderá aumentar ou diminuir as metas a fim de compatibilizar a despesa orçada com a receita estimada, de forma a assegurar o equilíbrio das contas públicas.</w:t>
      </w:r>
    </w:p>
    <w:p w14:paraId="61867803" w14:textId="77777777" w:rsidR="00604D12" w:rsidRDefault="00604D12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7EB6FAF4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§ 3º </w:t>
      </w:r>
      <w:r>
        <w:rPr>
          <w:rFonts w:ascii="Arial" w:eastAsia="Arial" w:hAnsi="Arial" w:cs="Arial"/>
        </w:rPr>
        <w:t xml:space="preserve">O anexo de prioridades e </w:t>
      </w:r>
      <w:r>
        <w:rPr>
          <w:rFonts w:ascii="Arial" w:eastAsia="Arial" w:hAnsi="Arial" w:cs="Arial"/>
        </w:rPr>
        <w:t>metas conterá, no que couber, o disposto no § 2º do art. 4º da Lei Complementar Federal nº 101, de 4 de maio de 2000 - Lei de Responsabilidade Fiscal (LRF).</w:t>
      </w:r>
    </w:p>
    <w:p w14:paraId="4CC66A1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4º</w:t>
      </w:r>
      <w:r>
        <w:rPr>
          <w:rFonts w:ascii="Arial" w:eastAsia="Arial" w:hAnsi="Arial" w:cs="Arial"/>
        </w:rPr>
        <w:t xml:space="preserve"> O Município aplicará no mínimo vinte e cinco por cento da receita resultante de impostos na ma</w:t>
      </w:r>
      <w:r>
        <w:rPr>
          <w:rFonts w:ascii="Arial" w:eastAsia="Arial" w:hAnsi="Arial" w:cs="Arial"/>
        </w:rPr>
        <w:t xml:space="preserve">nutenção e desenvolvimento de ensino fundamental e infantil, nos termos do art. 212 da Constituição Federal, e atenderá os dispositivos da Emenda Constitucional nº </w:t>
      </w:r>
      <w:hyperlink r:id="rId7">
        <w:r>
          <w:rPr>
            <w:rFonts w:ascii="Arial" w:eastAsia="Arial" w:hAnsi="Arial" w:cs="Arial"/>
          </w:rPr>
          <w:t>29</w:t>
        </w:r>
      </w:hyperlink>
      <w:r>
        <w:rPr>
          <w:rFonts w:ascii="Arial" w:eastAsia="Arial" w:hAnsi="Arial" w:cs="Arial"/>
        </w:rPr>
        <w:t>, de 13 de setembro de 2000, quanto aos serviços públicos de saúde, com a aplicação de no mínimo quinze por cento das referidas receitas.</w:t>
      </w:r>
    </w:p>
    <w:p w14:paraId="72E19D98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CAPÍTULO III</w:t>
      </w:r>
    </w:p>
    <w:p w14:paraId="5467BFDC" w14:textId="77777777" w:rsidR="00604D12" w:rsidRDefault="00887334">
      <w:pPr>
        <w:spacing w:line="360" w:lineRule="auto"/>
        <w:jc w:val="center"/>
        <w:rPr>
          <w:rFonts w:ascii="Arial" w:eastAsia="Arial" w:hAnsi="Arial" w:cs="Arial"/>
          <w:b/>
          <w:bCs/>
          <w:highlight w:val="white"/>
        </w:rPr>
      </w:pPr>
      <w:r>
        <w:rPr>
          <w:rFonts w:ascii="Arial" w:eastAsia="Arial" w:hAnsi="Arial" w:cs="Arial"/>
          <w:b/>
          <w:bCs/>
          <w:highlight w:val="white"/>
        </w:rPr>
        <w:t>DA ESTRUTURA DOS ORÇAMENTOS</w:t>
      </w:r>
    </w:p>
    <w:p w14:paraId="2B384DA4" w14:textId="77777777" w:rsidR="00604D12" w:rsidRDefault="00604D12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</w:p>
    <w:p w14:paraId="2A074394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3º </w:t>
      </w:r>
      <w:r>
        <w:rPr>
          <w:rFonts w:ascii="Arial" w:eastAsia="Arial" w:hAnsi="Arial" w:cs="Arial"/>
        </w:rPr>
        <w:t>O orçamento fiscal para o exercício financeiro de 2026 abrangerá o Poder Legislativo, o Poder Executivo, incluindo Fundos e Autarquias e será elaborado levando-se em conta a estrutura organizacional da Prefeitura, obedecendo a classificação por função e su</w:t>
      </w:r>
      <w:r>
        <w:rPr>
          <w:rFonts w:ascii="Arial" w:eastAsia="Arial" w:hAnsi="Arial" w:cs="Arial"/>
        </w:rPr>
        <w:t>bfunção, conforme Portaria nº 42 do Ministério do Orçamento e Gestão, e por natureza de despesa, conforme Portaria Interministerial nº 163, de 4 de maio de 2001.</w:t>
      </w:r>
    </w:p>
    <w:p w14:paraId="73B844AD" w14:textId="77777777" w:rsidR="00604D12" w:rsidRDefault="00887334">
      <w:pPr>
        <w:spacing w:line="36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Parágrafo primeiro. Eventuais alterações e modificações na estrutura da Administração Direta e</w:t>
      </w:r>
      <w:r>
        <w:rPr>
          <w:rFonts w:ascii="Arial" w:eastAsia="Arial" w:hAnsi="Arial" w:cs="Arial"/>
          <w:highlight w:val="white"/>
        </w:rPr>
        <w:t xml:space="preserve"> Indireta realizadas até a aprovação do orçamento serão consideradas quando da sua elaboração.</w:t>
      </w:r>
    </w:p>
    <w:p w14:paraId="7F2F9EB9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</w:rPr>
        <w:t>Parágrafo segundo.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Após o encaminhamento do Projeto de lei do orçamento ao legislativo, os valores da Receita estimada e da Despesa fixada poderão ser reajustado</w:t>
      </w:r>
      <w:r>
        <w:rPr>
          <w:rFonts w:ascii="Arial" w:eastAsia="Arial" w:hAnsi="Arial" w:cs="Arial"/>
        </w:rPr>
        <w:t xml:space="preserve">s pelo Poder Executivo, mediante justificativas e antes da sua aprovação. </w:t>
      </w:r>
    </w:p>
    <w:p w14:paraId="60E92567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4º</w:t>
      </w:r>
      <w:r>
        <w:rPr>
          <w:rFonts w:ascii="Arial" w:eastAsia="Arial" w:hAnsi="Arial" w:cs="Arial"/>
        </w:rPr>
        <w:t xml:space="preserve"> A Lei do Orçamento Anual (LOA) evidenciará a receita por rubrica em cada Unidade Gestora e a despesa de cada Unidade Gestora por função, subfunção, programa, projeto ativida</w:t>
      </w:r>
      <w:r>
        <w:rPr>
          <w:rFonts w:ascii="Arial" w:eastAsia="Arial" w:hAnsi="Arial" w:cs="Arial"/>
        </w:rPr>
        <w:t>de, na forma dos seguintes adendos:</w:t>
      </w:r>
    </w:p>
    <w:p w14:paraId="6B4CC68B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I - demonstrativo da receita e despesa, segundo as categorias econômicas (Anexo I da Lei Federal nº </w:t>
      </w:r>
      <w:hyperlink r:id="rId8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17 de março de 1964 e Adendo II da Portaria SOF/SEPLAN nº 8, de 4 de fevereiro de 1985);</w:t>
      </w:r>
    </w:p>
    <w:p w14:paraId="7B69B270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>II - demonstr</w:t>
      </w:r>
      <w:r>
        <w:rPr>
          <w:rFonts w:ascii="Arial" w:eastAsia="Arial" w:hAnsi="Arial" w:cs="Arial"/>
          <w:highlight w:val="white"/>
        </w:rPr>
        <w:t xml:space="preserve">ativo da receita, segundo as categorias econômicas (Anexo II da Lei Federal nº </w:t>
      </w:r>
      <w:hyperlink r:id="rId9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Adendo III da Portaria SOF/SEPLAN nº 8, de 1985);</w:t>
      </w:r>
    </w:p>
    <w:p w14:paraId="20EF5AEA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III - resumo geral natureza da despesa (Anexo II da Lei Federal nº </w:t>
      </w:r>
      <w:hyperlink r:id="rId10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Adendo III</w:t>
      </w:r>
      <w:r>
        <w:rPr>
          <w:rFonts w:ascii="Arial" w:eastAsia="Arial" w:hAnsi="Arial" w:cs="Arial"/>
          <w:highlight w:val="white"/>
        </w:rPr>
        <w:t xml:space="preserve"> da Portaria SOF/SEPLAN nº 8, de 1985);</w:t>
      </w:r>
    </w:p>
    <w:p w14:paraId="197F8FF6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IV - programa de trabalho (Anexo VI da Lei nº </w:t>
      </w:r>
      <w:hyperlink r:id="rId11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Adendo V da Portaria SOF/SEPLAN nº 8, de 1985);</w:t>
      </w:r>
    </w:p>
    <w:p w14:paraId="4DC298BF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>V - programa de trabalho de governo - demonstrativo de funções, subfunções e por projetos e ativi</w:t>
      </w:r>
      <w:r>
        <w:rPr>
          <w:rFonts w:ascii="Arial" w:eastAsia="Arial" w:hAnsi="Arial" w:cs="Arial"/>
          <w:highlight w:val="white"/>
        </w:rPr>
        <w:t xml:space="preserve">dades (Anexo VII da Lei Federal nº </w:t>
      </w:r>
      <w:hyperlink r:id="rId12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Adendo VI da Portaria SOF/SEPLAN nº 8, de 1985);</w:t>
      </w:r>
    </w:p>
    <w:p w14:paraId="3D6AC30F" w14:textId="77777777" w:rsidR="00604D12" w:rsidRDefault="00887334">
      <w:pPr>
        <w:spacing w:line="36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lastRenderedPageBreak/>
        <w:t xml:space="preserve">VI - demonstrativo da despesa por funções e subfunções conforme o vínculo com os recursos (Anexo VIII da Lei Federal nº </w:t>
      </w:r>
      <w:hyperlink r:id="rId13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</w:t>
      </w:r>
      <w:r>
        <w:rPr>
          <w:rFonts w:ascii="Arial" w:eastAsia="Arial" w:hAnsi="Arial" w:cs="Arial"/>
          <w:highlight w:val="white"/>
        </w:rPr>
        <w:t>endo VII da Portaria SOF/SEPLAN nº 8, de 1985);</w:t>
      </w:r>
    </w:p>
    <w:p w14:paraId="43C9F0F6" w14:textId="77777777" w:rsidR="00604D12" w:rsidRDefault="00604D12">
      <w:pPr>
        <w:spacing w:line="360" w:lineRule="auto"/>
        <w:jc w:val="both"/>
        <w:rPr>
          <w:rFonts w:ascii="Arial" w:eastAsia="Arial" w:hAnsi="Arial" w:cs="Arial"/>
        </w:rPr>
      </w:pPr>
    </w:p>
    <w:p w14:paraId="352DF764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VII - demonstrativo da despesa por órgãos e funções (Anexo IX da Lei Federal nº </w:t>
      </w:r>
      <w:hyperlink r:id="rId14">
        <w:r>
          <w:rPr>
            <w:rFonts w:ascii="Arial" w:eastAsia="Arial" w:hAnsi="Arial" w:cs="Arial"/>
            <w:highlight w:val="white"/>
          </w:rPr>
          <w:t>4.320</w:t>
        </w:r>
      </w:hyperlink>
      <w:r>
        <w:rPr>
          <w:rFonts w:ascii="Arial" w:eastAsia="Arial" w:hAnsi="Arial" w:cs="Arial"/>
          <w:highlight w:val="white"/>
        </w:rPr>
        <w:t>, de 1964 e Adendo VIII da Portaria SOF/SEPLAN nº 08, de 1985);</w:t>
      </w:r>
    </w:p>
    <w:p w14:paraId="3F7891FE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>VIII - demonstrativo da evolução da receita realizada por fontes dos três últimos exercícios, da estimada para o exercício corrente e da projetada para dois exercícios seguintes (art. 12 da LRF);</w:t>
      </w:r>
    </w:p>
    <w:p w14:paraId="0F858EE0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IX - </w:t>
      </w:r>
      <w:proofErr w:type="gramStart"/>
      <w:r>
        <w:rPr>
          <w:rFonts w:ascii="Arial" w:eastAsia="Arial" w:hAnsi="Arial" w:cs="Arial"/>
          <w:highlight w:val="white"/>
        </w:rPr>
        <w:t>demonstrativo</w:t>
      </w:r>
      <w:proofErr w:type="gramEnd"/>
      <w:r>
        <w:rPr>
          <w:rFonts w:ascii="Arial" w:eastAsia="Arial" w:hAnsi="Arial" w:cs="Arial"/>
          <w:highlight w:val="white"/>
        </w:rPr>
        <w:t xml:space="preserve"> da evolução da despesa realizada por elem</w:t>
      </w:r>
      <w:r>
        <w:rPr>
          <w:rFonts w:ascii="Arial" w:eastAsia="Arial" w:hAnsi="Arial" w:cs="Arial"/>
          <w:highlight w:val="white"/>
        </w:rPr>
        <w:t>ento dos dois últimos exercícios, da fixada para o exercício corrente e para os dois exercícios seguintes;</w:t>
      </w:r>
    </w:p>
    <w:p w14:paraId="11C6D370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X - </w:t>
      </w:r>
      <w:proofErr w:type="gramStart"/>
      <w:r>
        <w:rPr>
          <w:rFonts w:ascii="Arial" w:eastAsia="Arial" w:hAnsi="Arial" w:cs="Arial"/>
          <w:highlight w:val="white"/>
        </w:rPr>
        <w:t>demonstrativo</w:t>
      </w:r>
      <w:proofErr w:type="gramEnd"/>
      <w:r>
        <w:rPr>
          <w:rFonts w:ascii="Arial" w:eastAsia="Arial" w:hAnsi="Arial" w:cs="Arial"/>
          <w:highlight w:val="white"/>
        </w:rPr>
        <w:t xml:space="preserve"> do orçamento fiscal e da seguridade social;</w:t>
      </w:r>
    </w:p>
    <w:p w14:paraId="13AA1BAC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 xml:space="preserve">XI - demonstrativo dos riscos fiscais considerados para 2026 (alínea "b" do inciso III </w:t>
      </w:r>
      <w:r>
        <w:rPr>
          <w:rFonts w:ascii="Arial" w:eastAsia="Arial" w:hAnsi="Arial" w:cs="Arial"/>
          <w:highlight w:val="white"/>
        </w:rPr>
        <w:t>do art. 5º da LRF);</w:t>
      </w:r>
    </w:p>
    <w:p w14:paraId="7FF460DC" w14:textId="77777777" w:rsidR="00604D12" w:rsidRDefault="008873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white"/>
        </w:rPr>
        <w:t>XII - demonstrativo da apuração do resultado primário e nominal para o exercício de 2026 (§§ 1º e 9º do art. 4º da LRF).</w:t>
      </w:r>
    </w:p>
    <w:p w14:paraId="5D34CDC8" w14:textId="77777777" w:rsidR="00604D12" w:rsidRDefault="00887334">
      <w:pPr>
        <w:spacing w:line="360" w:lineRule="auto"/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>§ 1º Os orçamentos dos Fundos e Autarquias que acompanham o Orçamento Geral do Município evidenciarão suas receitas</w:t>
      </w:r>
      <w:r>
        <w:rPr>
          <w:rFonts w:ascii="Arial" w:eastAsia="Arial" w:hAnsi="Arial" w:cs="Arial"/>
          <w:highlight w:val="white"/>
        </w:rPr>
        <w:t xml:space="preserve"> e despesas conforme disposto no caput.</w:t>
      </w:r>
    </w:p>
    <w:p w14:paraId="4DC76738" w14:textId="77777777" w:rsidR="00604D12" w:rsidRDefault="00887334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>§ 2º Os subprojetos e as subatividades poderão ser agrupados em projetos e atividades contendo a descrição sucinta dos objetivos.</w:t>
      </w:r>
    </w:p>
    <w:p w14:paraId="75CFA8F4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5º - </w:t>
      </w:r>
      <w:r>
        <w:rPr>
          <w:rFonts w:ascii="Arial" w:eastAsia="Arial" w:hAnsi="Arial" w:cs="Arial"/>
        </w:rPr>
        <w:t>A lei orçamentária destinará recursos vinculados e elementos de despesa para execução de projetos e atividades típicas com recursos de Transferências por parte da União ou Estado, sendo para isso necessário firmar convênio de intenções, mediante autorizaçã</w:t>
      </w:r>
      <w:r>
        <w:rPr>
          <w:rFonts w:ascii="Arial" w:eastAsia="Arial" w:hAnsi="Arial" w:cs="Arial"/>
        </w:rPr>
        <w:t xml:space="preserve">o legislativa e lei específica. </w:t>
      </w:r>
    </w:p>
    <w:p w14:paraId="3A91A22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Parágrafo Único - </w:t>
      </w:r>
      <w:r>
        <w:rPr>
          <w:rFonts w:ascii="Arial" w:eastAsia="Arial" w:hAnsi="Arial" w:cs="Arial"/>
        </w:rPr>
        <w:t xml:space="preserve">Fica o Poder Executivo Municipal autorizado a firmar Convênio com o Governo da União e do Estado e suas Entidades no decorrer do exercício de 2026, mediante autorização legislativa e lei específica. </w:t>
      </w:r>
    </w:p>
    <w:p w14:paraId="0005D82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</w:t>
      </w:r>
      <w:r>
        <w:rPr>
          <w:rFonts w:ascii="Arial" w:eastAsia="Arial" w:hAnsi="Arial" w:cs="Arial"/>
          <w:b/>
          <w:bCs/>
        </w:rPr>
        <w:t xml:space="preserve">6º - </w:t>
      </w:r>
      <w:r>
        <w:rPr>
          <w:rFonts w:ascii="Arial" w:eastAsia="Arial" w:hAnsi="Arial" w:cs="Arial"/>
        </w:rPr>
        <w:t xml:space="preserve">A lei orçamentária geral engloba os recursos correspondentes às receitas e despesas de todos os órgãos, fundos, institutos e da Câmara Municipal. </w:t>
      </w:r>
    </w:p>
    <w:p w14:paraId="7B4330C7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7º -</w:t>
      </w:r>
      <w:r>
        <w:rPr>
          <w:rFonts w:ascii="Arial" w:eastAsia="Arial" w:hAnsi="Arial" w:cs="Arial"/>
        </w:rPr>
        <w:t xml:space="preserve"> As despesas de pessoal e encargos sociais não poderão aumentar além de índices de incrementos,</w:t>
      </w:r>
      <w:r>
        <w:rPr>
          <w:rFonts w:ascii="Arial" w:eastAsia="Arial" w:hAnsi="Arial" w:cs="Arial"/>
        </w:rPr>
        <w:t xml:space="preserve"> obedecendo ao que estabelece o Artigo 169 da Constituição Federal.</w:t>
      </w:r>
    </w:p>
    <w:p w14:paraId="5BB33ADA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8º - </w:t>
      </w:r>
      <w:r>
        <w:rPr>
          <w:rFonts w:ascii="Arial" w:eastAsia="Arial" w:hAnsi="Arial" w:cs="Arial"/>
        </w:rPr>
        <w:t>As despesas com custeio, em cada órgão ou unidade orçamentária não poderá ter aumento que superem os índices de crescimento dos valores globais de Orçamento, ressalvando com just</w:t>
      </w:r>
      <w:r>
        <w:rPr>
          <w:rFonts w:ascii="Arial" w:eastAsia="Arial" w:hAnsi="Arial" w:cs="Arial"/>
        </w:rPr>
        <w:t>ificativa própria, novas despesas na área da Educação e Saúde.</w:t>
      </w:r>
    </w:p>
    <w:p w14:paraId="05E5AEDE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Art. 9º - </w:t>
      </w:r>
      <w:r>
        <w:rPr>
          <w:rFonts w:ascii="Arial" w:eastAsia="Arial" w:hAnsi="Arial" w:cs="Arial"/>
        </w:rPr>
        <w:t>A destinação de recursos públicos para o setor privado deverá ser autorizada por lei específica e deverá demonstrar recursos disponíveis nas dotações orçamentárias para as devidas co</w:t>
      </w:r>
      <w:r>
        <w:rPr>
          <w:rFonts w:ascii="Arial" w:eastAsia="Arial" w:hAnsi="Arial" w:cs="Arial"/>
        </w:rPr>
        <w:t xml:space="preserve">ntribuições. </w:t>
      </w:r>
    </w:p>
    <w:p w14:paraId="57721CD1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10 - </w:t>
      </w:r>
      <w:r>
        <w:rPr>
          <w:rFonts w:ascii="Arial" w:eastAsia="Arial" w:hAnsi="Arial" w:cs="Arial"/>
        </w:rPr>
        <w:t xml:space="preserve">A prestação de contas anual deverá demonstrar os efeitos decorrentes de isenções, anistias, subsídios e benefícios tributários e creditícios, identificando as vantagens concedidas. </w:t>
      </w:r>
    </w:p>
    <w:p w14:paraId="4FC8512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11 - </w:t>
      </w:r>
      <w:r>
        <w:rPr>
          <w:rFonts w:ascii="Arial" w:eastAsia="Arial" w:hAnsi="Arial" w:cs="Arial"/>
        </w:rPr>
        <w:t>O Poder Executivo demonstrará e avaliará</w:t>
      </w:r>
      <w:r>
        <w:rPr>
          <w:rFonts w:ascii="Arial" w:eastAsia="Arial" w:hAnsi="Arial" w:cs="Arial"/>
        </w:rPr>
        <w:t xml:space="preserve">, o cumprimento das metas fiscais de cada quadrimestre, em audiência pública, com a participação do Poder Executivo, Legislativo e comunidade. </w:t>
      </w:r>
    </w:p>
    <w:p w14:paraId="52DED741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Art.12 - </w:t>
      </w:r>
      <w:r>
        <w:rPr>
          <w:rFonts w:ascii="Arial" w:eastAsia="Arial" w:hAnsi="Arial" w:cs="Arial"/>
        </w:rPr>
        <w:t xml:space="preserve">O Fundo de Previdência terá orçamento próprio e a lei será a do orçamento geral. </w:t>
      </w:r>
    </w:p>
    <w:p w14:paraId="49F4C363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Art.13 - </w:t>
      </w:r>
      <w:r>
        <w:rPr>
          <w:rFonts w:ascii="Arial" w:eastAsia="Arial" w:hAnsi="Arial" w:cs="Arial"/>
        </w:rPr>
        <w:t>O Fundo muni</w:t>
      </w:r>
      <w:r>
        <w:rPr>
          <w:rFonts w:ascii="Arial" w:eastAsia="Arial" w:hAnsi="Arial" w:cs="Arial"/>
        </w:rPr>
        <w:t xml:space="preserve">cipal da Saúde terá orçamento próprio e a lei será a do orçamento geral. </w:t>
      </w:r>
    </w:p>
    <w:p w14:paraId="4DF88096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IV</w:t>
      </w:r>
    </w:p>
    <w:p w14:paraId="5169C93E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DA RECEITA </w:t>
      </w:r>
    </w:p>
    <w:p w14:paraId="625A25B0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14 - </w:t>
      </w:r>
      <w:r>
        <w:rPr>
          <w:rFonts w:ascii="Arial" w:eastAsia="Arial" w:hAnsi="Arial" w:cs="Arial"/>
        </w:rPr>
        <w:t>A natureza da receita orçamentária a ser estimada na lei do orçamento para o exercício de 2026, será de acordo com Portaria Interministerial vigente</w:t>
      </w:r>
      <w:r>
        <w:rPr>
          <w:rFonts w:ascii="Arial" w:eastAsia="Arial" w:hAnsi="Arial" w:cs="Arial"/>
        </w:rPr>
        <w:t xml:space="preserve"> e terá seus cálculos com base nos três últimos exercícios financeiros, havendo incrementos de receita deverá ser apresentado justificativas na mensagem que encaminhar a lei orçamentária ao legislativo. </w:t>
      </w:r>
    </w:p>
    <w:p w14:paraId="3764CCCB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15 - </w:t>
      </w:r>
      <w:r>
        <w:rPr>
          <w:rFonts w:ascii="Arial" w:eastAsia="Arial" w:hAnsi="Arial" w:cs="Arial"/>
        </w:rPr>
        <w:t>O Poder Executivo Municipal poderá encamin</w:t>
      </w:r>
      <w:r>
        <w:rPr>
          <w:rFonts w:ascii="Arial" w:eastAsia="Arial" w:hAnsi="Arial" w:cs="Arial"/>
        </w:rPr>
        <w:t xml:space="preserve">har ao legislativo, até três meses antes do encerramento do atual exercício, o projeto de lei dispondo sobre mudanças no Código Tributário. </w:t>
      </w:r>
    </w:p>
    <w:p w14:paraId="31116B41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 - Não se inclui neste caso, alterações sobre a Planta de Valores Imobiliários, base do IPTU e ITBI.</w:t>
      </w:r>
      <w:r>
        <w:rPr>
          <w:rFonts w:ascii="Arial" w:eastAsia="Arial" w:hAnsi="Arial" w:cs="Arial"/>
        </w:rPr>
        <w:t xml:space="preserve"> </w:t>
      </w:r>
    </w:p>
    <w:p w14:paraId="044C587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Art. 16 – </w:t>
      </w:r>
      <w:r>
        <w:rPr>
          <w:rFonts w:ascii="Arial" w:eastAsia="Arial" w:hAnsi="Arial" w:cs="Arial"/>
        </w:rPr>
        <w:t>Mediante autorização legislativa e lei específica, o Município poderá realizar Operações de Crédito na medida em que demonstre capacidade de endividamento e se configurar eminente falta de recursos, como dispõe a legislação em vigor.</w:t>
      </w:r>
      <w:r>
        <w:rPr>
          <w:rFonts w:ascii="Arial" w:eastAsia="Arial" w:hAnsi="Arial" w:cs="Arial"/>
          <w:b/>
          <w:bCs/>
        </w:rPr>
        <w:t xml:space="preserve"> </w:t>
      </w:r>
    </w:p>
    <w:p w14:paraId="7FEB458A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</w:t>
      </w:r>
      <w:r>
        <w:rPr>
          <w:rFonts w:ascii="Arial" w:eastAsia="Arial" w:hAnsi="Arial" w:cs="Arial"/>
        </w:rPr>
        <w:t xml:space="preserve"> Primeiro - As Operações de Crédito a serem realizadas pelo município, no exercício de 2026, não poderão exceder o montante das despesas de capital fixadas na lei orçamentária anual correspondente, ressalvadas as autorizadas mediante créditos suplementares</w:t>
      </w:r>
      <w:r>
        <w:rPr>
          <w:rFonts w:ascii="Arial" w:eastAsia="Arial" w:hAnsi="Arial" w:cs="Arial"/>
        </w:rPr>
        <w:t xml:space="preserve"> ou especiais com finalidade precisa, aprovadas pelo Poder Legislativo, por maioria absoluta, observado o que dispõe a Legislação vigente. </w:t>
      </w:r>
    </w:p>
    <w:p w14:paraId="7FD7BDA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Segundo - De acordo com o que determina o art. 35 da LRF, fica expressamente proibida a realização de oper</w:t>
      </w:r>
      <w:r>
        <w:rPr>
          <w:rFonts w:ascii="Arial" w:eastAsia="Arial" w:hAnsi="Arial" w:cs="Arial"/>
        </w:rPr>
        <w:t xml:space="preserve">ações de crédito entre um ente da federação. </w:t>
      </w:r>
    </w:p>
    <w:p w14:paraId="1294DAD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Parágrafo Terceiro - Até que nova resolução ou norma for aprovada, o Município continuará a obedecer às condições, limites e procedimentos estabelecidos pela legislação vigente. </w:t>
      </w:r>
    </w:p>
    <w:p w14:paraId="739C0BB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17 - </w:t>
      </w:r>
      <w:r>
        <w:rPr>
          <w:rFonts w:ascii="Arial" w:eastAsia="Arial" w:hAnsi="Arial" w:cs="Arial"/>
        </w:rPr>
        <w:t>A modernização da adm</w:t>
      </w:r>
      <w:r>
        <w:rPr>
          <w:rFonts w:ascii="Arial" w:eastAsia="Arial" w:hAnsi="Arial" w:cs="Arial"/>
        </w:rPr>
        <w:t xml:space="preserve">inistração tributária e fiscal será desenvolvida para ajustes do código tributário e da lei orgânica do Município. </w:t>
      </w:r>
    </w:p>
    <w:p w14:paraId="447B8D95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 - Deverão ser tomadas as seguintes medidas:</w:t>
      </w:r>
    </w:p>
    <w:p w14:paraId="52F355E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I - Cobrança de taxas com base nos custos das operações a atuação do Município; II - Aplicação da correção monetária de acordo com os índices oficiais; </w:t>
      </w:r>
    </w:p>
    <w:p w14:paraId="5C32A740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III - Ampliação permanente do cadastro técnico fiscal e dados demográficos atualizados. </w:t>
      </w:r>
    </w:p>
    <w:p w14:paraId="1E472E8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Art. 18 - </w:t>
      </w:r>
      <w:r>
        <w:rPr>
          <w:rFonts w:ascii="Arial" w:eastAsia="Arial" w:hAnsi="Arial" w:cs="Arial"/>
        </w:rPr>
        <w:t>Con</w:t>
      </w:r>
      <w:r>
        <w:rPr>
          <w:rFonts w:ascii="Arial" w:eastAsia="Arial" w:hAnsi="Arial" w:cs="Arial"/>
        </w:rPr>
        <w:t>cessão, incentivos e benefícios de natureza tributária, através de renúncia de receita, serão concedidos de conformidade com o art. 14 da Lei de Responsabilidade Fiscal, mediante autorização legislativa e lei específica.</w:t>
      </w:r>
      <w:r>
        <w:rPr>
          <w:rFonts w:ascii="Arial" w:eastAsia="Arial" w:hAnsi="Arial" w:cs="Arial"/>
          <w:b/>
          <w:bCs/>
        </w:rPr>
        <w:t xml:space="preserve"> </w:t>
      </w:r>
    </w:p>
    <w:p w14:paraId="2BD09037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19 - </w:t>
      </w:r>
      <w:r>
        <w:rPr>
          <w:rFonts w:ascii="Arial" w:eastAsia="Arial" w:hAnsi="Arial" w:cs="Arial"/>
        </w:rPr>
        <w:t>O Poder Legislativo pode</w:t>
      </w:r>
      <w:r>
        <w:rPr>
          <w:rFonts w:ascii="Arial" w:eastAsia="Arial" w:hAnsi="Arial" w:cs="Arial"/>
        </w:rPr>
        <w:t xml:space="preserve">rá proceder a reestimativa de receita da proposta orçamentária a ser apresentada, desde que comprovado erro ou omissão de ordem técnica ou legal. </w:t>
      </w:r>
    </w:p>
    <w:p w14:paraId="7B395708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20 - </w:t>
      </w:r>
      <w:r>
        <w:rPr>
          <w:rFonts w:ascii="Arial" w:eastAsia="Arial" w:hAnsi="Arial" w:cs="Arial"/>
        </w:rPr>
        <w:t>As Receitas de Alienação de Bens e Direitos, não poderão ser aplicadas em Despesas Correntes, salvo</w:t>
      </w:r>
      <w:r>
        <w:rPr>
          <w:rFonts w:ascii="Arial" w:eastAsia="Arial" w:hAnsi="Arial" w:cs="Arial"/>
        </w:rPr>
        <w:t xml:space="preserve"> se a lei </w:t>
      </w:r>
      <w:proofErr w:type="gramStart"/>
      <w:r>
        <w:rPr>
          <w:rFonts w:ascii="Arial" w:eastAsia="Arial" w:hAnsi="Arial" w:cs="Arial"/>
        </w:rPr>
        <w:t>destiná-las</w:t>
      </w:r>
      <w:proofErr w:type="gramEnd"/>
      <w:r>
        <w:rPr>
          <w:rFonts w:ascii="Arial" w:eastAsia="Arial" w:hAnsi="Arial" w:cs="Arial"/>
        </w:rPr>
        <w:t xml:space="preserve"> ao regime de previdência social, geral e próprio dos servidores públicos, legalmente constituído. </w:t>
      </w:r>
    </w:p>
    <w:p w14:paraId="61CCD1EE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V</w:t>
      </w:r>
    </w:p>
    <w:p w14:paraId="099E7367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DAS DESPESAS</w:t>
      </w:r>
    </w:p>
    <w:p w14:paraId="1EBDE507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21 - </w:t>
      </w:r>
      <w:r>
        <w:rPr>
          <w:rFonts w:ascii="Arial" w:eastAsia="Arial" w:hAnsi="Arial" w:cs="Arial"/>
        </w:rPr>
        <w:t>As despesas serão fixadas pela lei orçamentária de conformidade com a receita estimada e a sua discriminação quanto à sua natureza, far-se-á, no mínimo, por categoria econômica, grupo de natureza de despesa e modalidade de aplicação, conforme art. 6º da Po</w:t>
      </w:r>
      <w:r>
        <w:rPr>
          <w:rFonts w:ascii="Arial" w:eastAsia="Arial" w:hAnsi="Arial" w:cs="Arial"/>
        </w:rPr>
        <w:t xml:space="preserve">rtaria Interministerial nº 163 de 04 de maio de 2001, mediante autorização legislativa e lei específica. </w:t>
      </w:r>
    </w:p>
    <w:p w14:paraId="7607F044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Parágrafo Único - </w:t>
      </w:r>
      <w:r>
        <w:rPr>
          <w:rFonts w:ascii="Arial" w:eastAsia="Arial" w:hAnsi="Arial" w:cs="Arial"/>
        </w:rPr>
        <w:t xml:space="preserve">As despesas com recursos de Convênios, serão orçadas no valor da contrapartida e quando do ingresso dos recursos, as dotações serão </w:t>
      </w:r>
      <w:r>
        <w:rPr>
          <w:rFonts w:ascii="Arial" w:eastAsia="Arial" w:hAnsi="Arial" w:cs="Arial"/>
        </w:rPr>
        <w:t xml:space="preserve">suplementadas de acordo com o inciso V do artigo 27 da presente lei. </w:t>
      </w:r>
    </w:p>
    <w:p w14:paraId="29995FC8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22 - </w:t>
      </w:r>
      <w:r>
        <w:rPr>
          <w:rFonts w:ascii="Arial" w:eastAsia="Arial" w:hAnsi="Arial" w:cs="Arial"/>
        </w:rPr>
        <w:t>Na execução orçamentária do exercício de 2026, deverá ser adotado sistema de limitação de empenho, sempre que a gestão fiscal se evidenciar deficitária (resultado primário nega</w:t>
      </w:r>
      <w:r>
        <w:rPr>
          <w:rFonts w:ascii="Arial" w:eastAsia="Arial" w:hAnsi="Arial" w:cs="Arial"/>
        </w:rPr>
        <w:t xml:space="preserve">tivo). </w:t>
      </w:r>
    </w:p>
    <w:p w14:paraId="7BFC57E4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23 - </w:t>
      </w:r>
      <w:r>
        <w:rPr>
          <w:rFonts w:ascii="Arial" w:eastAsia="Arial" w:hAnsi="Arial" w:cs="Arial"/>
        </w:rPr>
        <w:t xml:space="preserve">As despesas obrigatórias de caráter continuado deverão ter dotações orçamentárias suficientes, e sua expansão será de acordo com os respectivos contratos. </w:t>
      </w:r>
    </w:p>
    <w:p w14:paraId="1AC4B6A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24 - </w:t>
      </w:r>
      <w:r>
        <w:rPr>
          <w:rFonts w:ascii="Arial" w:eastAsia="Arial" w:hAnsi="Arial" w:cs="Arial"/>
        </w:rPr>
        <w:t xml:space="preserve">Considera-se despesas de Pessoal os gastos com os ativos, os inativos e </w:t>
      </w:r>
      <w:r>
        <w:rPr>
          <w:rFonts w:ascii="Arial" w:eastAsia="Arial" w:hAnsi="Arial" w:cs="Arial"/>
        </w:rPr>
        <w:t>os pensionistas, os relativos a mandatos eletivos, cargos, funções ou empregos, civis, e de membros de poder, com quaisquer espécies remuneratórias, tais como vencimentos e vantagens, fixas e variáveis, subsídios, proventos de aposentadoria, reformas e pen</w:t>
      </w:r>
      <w:r>
        <w:rPr>
          <w:rFonts w:ascii="Arial" w:eastAsia="Arial" w:hAnsi="Arial" w:cs="Arial"/>
        </w:rPr>
        <w:t xml:space="preserve">sões, inclusive adicionais, gratificações, horas extras e vantagens pessoais de qualquer natureza, bem como encargos sociais e contribuições recolhidas pelo ente às entidades de previdência. </w:t>
      </w:r>
    </w:p>
    <w:p w14:paraId="07A0AD3E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Primeiro - As despesas de Pessoal e encargos dos Agent</w:t>
      </w:r>
      <w:r>
        <w:rPr>
          <w:rFonts w:ascii="Arial" w:eastAsia="Arial" w:hAnsi="Arial" w:cs="Arial"/>
        </w:rPr>
        <w:t xml:space="preserve">es Políticos, do quadro efetivo e dos contratados em caráter temporário, obedecerão rigorosamente ao que estabelece a Constituição Federal e a lei de responsabilidade fiscal e outras regulamentações vigentes e que entrarem em vigor. </w:t>
      </w:r>
    </w:p>
    <w:p w14:paraId="3A22E550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Segundo - Pa</w:t>
      </w:r>
      <w:r>
        <w:rPr>
          <w:rFonts w:ascii="Arial" w:eastAsia="Arial" w:hAnsi="Arial" w:cs="Arial"/>
        </w:rPr>
        <w:t xml:space="preserve">ra os fins do disposto no artigo 20 da lei de responsabilidade fiscal, sobre a repartição dos limites de gastos com pessoal, fica fixado sobre a receita corrente líquida o percentual de 6% para o Poder Legislativo e 54% para o Poder Executivo. </w:t>
      </w:r>
    </w:p>
    <w:p w14:paraId="67C3F3F8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Parágrafo T</w:t>
      </w:r>
      <w:r>
        <w:rPr>
          <w:rFonts w:ascii="Arial" w:eastAsia="Arial" w:hAnsi="Arial" w:cs="Arial"/>
        </w:rPr>
        <w:t>erceiro - As despesas referentes a contratos de terceirização de mão de obra que se referem à substituição de servidores e empregados públicos, serão contabilizadas em Outras Despesas de Pessoal e serão computadas para o cálculo da despesa total com pessoa</w:t>
      </w:r>
      <w:r>
        <w:rPr>
          <w:rFonts w:ascii="Arial" w:eastAsia="Arial" w:hAnsi="Arial" w:cs="Arial"/>
        </w:rPr>
        <w:t xml:space="preserve">l. </w:t>
      </w:r>
    </w:p>
    <w:p w14:paraId="63735CFD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25 - </w:t>
      </w:r>
      <w:r>
        <w:rPr>
          <w:rFonts w:ascii="Arial" w:eastAsia="Arial" w:hAnsi="Arial" w:cs="Arial"/>
        </w:rPr>
        <w:t>Para o cumprimento do que determina o Art. 169 da Constituição Federal, no decorrer do ano 2026, o poder executivo municipal poderá proceder a concessão de qualquer vantagem ou aumento de remuneração, a criação de cargos e funções ou alteraçã</w:t>
      </w:r>
      <w:r>
        <w:rPr>
          <w:rFonts w:ascii="Arial" w:eastAsia="Arial" w:hAnsi="Arial" w:cs="Arial"/>
        </w:rPr>
        <w:t xml:space="preserve">o de estruturas de carreiras, bem como a admissão ou contratação de pessoal a qualquer título pelos órgãos da administração municipal, mediante autorização legislativa e lei específica. </w:t>
      </w:r>
    </w:p>
    <w:p w14:paraId="5BC34554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Art. 26 - </w:t>
      </w:r>
      <w:r>
        <w:rPr>
          <w:rFonts w:ascii="Arial" w:eastAsia="Arial" w:hAnsi="Arial" w:cs="Arial"/>
        </w:rPr>
        <w:t>A Secretaria de Administração e Fazenda, através da contabi</w:t>
      </w:r>
      <w:r>
        <w:rPr>
          <w:rFonts w:ascii="Arial" w:eastAsia="Arial" w:hAnsi="Arial" w:cs="Arial"/>
        </w:rPr>
        <w:t xml:space="preserve">lidade, fica obrigada a evidenciar os beneficiários de pagamentos de sentenças judiciais, com a observação da ordem cronológica. </w:t>
      </w:r>
    </w:p>
    <w:p w14:paraId="6D47852C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CAPÍTULO VI </w:t>
      </w:r>
    </w:p>
    <w:p w14:paraId="6BCCEB22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DOS CRÉDITOS ADICIONAIS </w:t>
      </w:r>
    </w:p>
    <w:p w14:paraId="2F6564D3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27 - </w:t>
      </w:r>
      <w:r>
        <w:rPr>
          <w:rFonts w:ascii="Arial" w:eastAsia="Arial" w:hAnsi="Arial" w:cs="Arial"/>
        </w:rPr>
        <w:t>A Abertura de créditos suplementares ao orçamento dependerá da existência de r</w:t>
      </w:r>
      <w:r>
        <w:rPr>
          <w:rFonts w:ascii="Arial" w:eastAsia="Arial" w:hAnsi="Arial" w:cs="Arial"/>
        </w:rPr>
        <w:t xml:space="preserve">ecursos disponíveis e de prévia autorização legislativa por lei específica. </w:t>
      </w:r>
    </w:p>
    <w:p w14:paraId="5FD9B4AA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- Poderá o Poder Executivo incluir na lei da proposta orçamentária para o exercício de 2026, como reserva de contingência o valor demonstrado nesta LDO. </w:t>
      </w:r>
    </w:p>
    <w:p w14:paraId="3DF4B89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 – A abertura de créd</w:t>
      </w:r>
      <w:r>
        <w:rPr>
          <w:rFonts w:ascii="Arial" w:eastAsia="Arial" w:hAnsi="Arial" w:cs="Arial"/>
        </w:rPr>
        <w:t xml:space="preserve">ito suplementar ou especial utilizando-se como fonte excesso de arrecadação, dependerá de autorização legislativa por lei específica; </w:t>
      </w:r>
    </w:p>
    <w:p w14:paraId="7059989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III </w:t>
      </w:r>
      <w:proofErr w:type="gramStart"/>
      <w:r>
        <w:rPr>
          <w:rFonts w:ascii="Arial" w:eastAsia="Arial" w:hAnsi="Arial" w:cs="Arial"/>
        </w:rPr>
        <w:t>-  O</w:t>
      </w:r>
      <w:proofErr w:type="gramEnd"/>
      <w:r>
        <w:rPr>
          <w:rFonts w:ascii="Arial" w:eastAsia="Arial" w:hAnsi="Arial" w:cs="Arial"/>
        </w:rPr>
        <w:t xml:space="preserve"> remanejamento interno de dotações, dentro da mesma atividade ou projeto, poderá ser realizada por decreto do Pod</w:t>
      </w:r>
      <w:r>
        <w:rPr>
          <w:rFonts w:ascii="Arial" w:eastAsia="Arial" w:hAnsi="Arial" w:cs="Arial"/>
        </w:rPr>
        <w:t>er Executivo e do Poder Legislativo, no âmbito de sua competência, desde que observados os limites autorizados na Lei Orçamentária Anual.</w:t>
      </w:r>
    </w:p>
    <w:p w14:paraId="383F0995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IV - A abertura de crédito suplementar ou especial utilizando-se como fonte superávit financeiro, dependerá de autoriz</w:t>
      </w:r>
      <w:r>
        <w:rPr>
          <w:rFonts w:ascii="Arial" w:eastAsia="Arial" w:hAnsi="Arial" w:cs="Arial"/>
        </w:rPr>
        <w:t xml:space="preserve">ação legislativa por lei específica; </w:t>
      </w:r>
    </w:p>
    <w:p w14:paraId="655F6C5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V – A suplementação de dotações orçamentárias no elemento do objeto de convênios, utilizando para isto o valor do respectivo convênio, dependerá de autorização legislativa por lei específica;</w:t>
      </w:r>
    </w:p>
    <w:p w14:paraId="18CD7126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VII</w:t>
      </w:r>
    </w:p>
    <w:p w14:paraId="1C7A8337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DAS DESPESAS </w:t>
      </w:r>
      <w:r>
        <w:rPr>
          <w:rFonts w:ascii="Arial" w:eastAsia="Arial" w:hAnsi="Arial" w:cs="Arial"/>
          <w:b/>
          <w:bCs/>
        </w:rPr>
        <w:t xml:space="preserve">COM SAÚDE E EDUCAÇÃO </w:t>
      </w:r>
    </w:p>
    <w:p w14:paraId="2308A89A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28 - </w:t>
      </w:r>
      <w:r>
        <w:rPr>
          <w:rFonts w:ascii="Arial" w:eastAsia="Arial" w:hAnsi="Arial" w:cs="Arial"/>
        </w:rPr>
        <w:t xml:space="preserve">O Poder Executivo Municipal através da Secretaria da Saúde, tomará as medidas necessárias para atendimento da Emenda Constitucional nº 29/2000 e Emenda Constitucional nº 51/2006. </w:t>
      </w:r>
    </w:p>
    <w:p w14:paraId="1E38EAB3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29 - </w:t>
      </w:r>
      <w:r>
        <w:rPr>
          <w:rFonts w:ascii="Arial" w:eastAsia="Arial" w:hAnsi="Arial" w:cs="Arial"/>
        </w:rPr>
        <w:t>O Poder Executivo Municipal atravé</w:t>
      </w:r>
      <w:r>
        <w:rPr>
          <w:rFonts w:ascii="Arial" w:eastAsia="Arial" w:hAnsi="Arial" w:cs="Arial"/>
        </w:rPr>
        <w:t xml:space="preserve">s da Secretaria da Educação, tomará as medidas necessárias para atendimento da lei que estabelece as Diretrizes e Bases da Educação Nacional e da lei do FUNDEB. </w:t>
      </w:r>
    </w:p>
    <w:p w14:paraId="089084D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 - O saldo do FUNDEB no encerramento do exercício financeiro de 2026, não poder</w:t>
      </w:r>
      <w:r>
        <w:rPr>
          <w:rFonts w:ascii="Arial" w:eastAsia="Arial" w:hAnsi="Arial" w:cs="Arial"/>
        </w:rPr>
        <w:t xml:space="preserve">á ser superior a 10% do valor da receita recebida do FUNDEB no referido exercício, e o saldo restante deverá ser aplicado até 30 de abril do exercício seguinte. </w:t>
      </w:r>
    </w:p>
    <w:p w14:paraId="2B44B4E0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30 - </w:t>
      </w:r>
      <w:r>
        <w:rPr>
          <w:rFonts w:ascii="Arial" w:eastAsia="Arial" w:hAnsi="Arial" w:cs="Arial"/>
        </w:rPr>
        <w:t>Quando a Rede Oficial de Ensino Fundamental e Infantil for insuficiente para atender</w:t>
      </w:r>
      <w:r>
        <w:rPr>
          <w:rFonts w:ascii="Arial" w:eastAsia="Arial" w:hAnsi="Arial" w:cs="Arial"/>
        </w:rPr>
        <w:t xml:space="preserve"> à demanda, poderão ser concedidos auxílios financeiros à rede particular local através de convênio aprovado em lei específica. </w:t>
      </w:r>
    </w:p>
    <w:p w14:paraId="05DBB285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31 - </w:t>
      </w:r>
      <w:r>
        <w:rPr>
          <w:rFonts w:ascii="Arial" w:eastAsia="Arial" w:hAnsi="Arial" w:cs="Arial"/>
        </w:rPr>
        <w:t>Quando a Rede Oficial de Ensino Médio for insuficiente para atender à demanda, poderão ser concedidos auxílios financ</w:t>
      </w:r>
      <w:r>
        <w:rPr>
          <w:rFonts w:ascii="Arial" w:eastAsia="Arial" w:hAnsi="Arial" w:cs="Arial"/>
        </w:rPr>
        <w:t xml:space="preserve">eiros à rede particular local através de convênio aprovado em lei específica. </w:t>
      </w:r>
    </w:p>
    <w:p w14:paraId="585C542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32 - </w:t>
      </w:r>
      <w:r>
        <w:rPr>
          <w:rFonts w:ascii="Arial" w:eastAsia="Arial" w:hAnsi="Arial" w:cs="Arial"/>
        </w:rPr>
        <w:t xml:space="preserve">Aos alunos do Ensino Superior das Universidades da Região, fica também concedido auxílio transporte devidamente regulamentado em lei específica. </w:t>
      </w:r>
    </w:p>
    <w:p w14:paraId="69166DEE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33 - </w:t>
      </w:r>
      <w:r>
        <w:rPr>
          <w:rFonts w:ascii="Arial" w:eastAsia="Arial" w:hAnsi="Arial" w:cs="Arial"/>
        </w:rPr>
        <w:t xml:space="preserve">O Poder Executivo consignará na proposta orçamentária para o exercício de 2026, dotações orçamentárias próprias para contabilização das despesas com o Fundo de Manutenção e Desenvolvimento da Educação Básica e do Salário Educação. </w:t>
      </w:r>
    </w:p>
    <w:p w14:paraId="1C844204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VIII</w:t>
      </w:r>
    </w:p>
    <w:p w14:paraId="18E56547" w14:textId="77777777" w:rsidR="00604D12" w:rsidRDefault="00887334">
      <w:pPr>
        <w:spacing w:before="240" w:after="2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DAS DISPOS</w:t>
      </w:r>
      <w:r>
        <w:rPr>
          <w:rFonts w:ascii="Arial" w:eastAsia="Arial" w:hAnsi="Arial" w:cs="Arial"/>
          <w:b/>
          <w:bCs/>
        </w:rPr>
        <w:t xml:space="preserve">IÇÕES GERAIS </w:t>
      </w:r>
    </w:p>
    <w:p w14:paraId="336B15C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34 - </w:t>
      </w:r>
      <w:r>
        <w:rPr>
          <w:rFonts w:ascii="Arial" w:eastAsia="Arial" w:hAnsi="Arial" w:cs="Arial"/>
        </w:rPr>
        <w:t xml:space="preserve">O Orçamento Programa terá sua execução centrada nos Órgãos e Unidades Orçamentárias, de acordo com a estrutura orçamentária da Prefeitura Municipal. </w:t>
      </w:r>
    </w:p>
    <w:p w14:paraId="2E2E797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Parágrafo Único - </w:t>
      </w:r>
      <w:r>
        <w:rPr>
          <w:rFonts w:ascii="Arial" w:eastAsia="Arial" w:hAnsi="Arial" w:cs="Arial"/>
        </w:rPr>
        <w:t>As Dotações Orçamentárias da despesa serão fixadas de acordo com</w:t>
      </w:r>
      <w:r>
        <w:rPr>
          <w:rFonts w:ascii="Arial" w:eastAsia="Arial" w:hAnsi="Arial" w:cs="Arial"/>
        </w:rPr>
        <w:t xml:space="preserve"> a Funcional Programática e serão através de Função, Subfunção, Programa, Projetos e Atividades. E a classificação Contábil será a nível de Modalidade de Aplicação. </w:t>
      </w:r>
    </w:p>
    <w:p w14:paraId="47F6705E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35 - </w:t>
      </w:r>
      <w:r>
        <w:rPr>
          <w:rFonts w:ascii="Arial" w:eastAsia="Arial" w:hAnsi="Arial" w:cs="Arial"/>
        </w:rPr>
        <w:t>As dotações orçamentárias de subvenções e contribuições somente poderão ser conc</w:t>
      </w:r>
      <w:r>
        <w:rPr>
          <w:rFonts w:ascii="Arial" w:eastAsia="Arial" w:hAnsi="Arial" w:cs="Arial"/>
        </w:rPr>
        <w:t xml:space="preserve">edidas a entidades sem fins lucrativos, devidamente nominadas na proposta orçamentária, ou a posterior com lei específica e de conformidade com o art. 25 da Lei de Responsabilidade Fiscal. </w:t>
      </w:r>
    </w:p>
    <w:p w14:paraId="5441B17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36 - </w:t>
      </w:r>
      <w:r>
        <w:rPr>
          <w:rFonts w:ascii="Arial" w:eastAsia="Arial" w:hAnsi="Arial" w:cs="Arial"/>
        </w:rPr>
        <w:t>A compra e contratação de obras e serviços somente poder</w:t>
      </w:r>
      <w:r>
        <w:rPr>
          <w:rFonts w:ascii="Arial" w:eastAsia="Arial" w:hAnsi="Arial" w:cs="Arial"/>
        </w:rPr>
        <w:t xml:space="preserve">ão ser realizadas havendo disponibilidade orçamentária e precedidas do respectivo processo licitatório e termo de contrato, nos termos das Leis 8.666/93, 8.883/94 e Lei 14.133/21 e legislação posterior. </w:t>
      </w:r>
    </w:p>
    <w:p w14:paraId="77414072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37 - </w:t>
      </w:r>
      <w:r>
        <w:rPr>
          <w:rFonts w:ascii="Arial" w:eastAsia="Arial" w:hAnsi="Arial" w:cs="Arial"/>
        </w:rPr>
        <w:t>As despesas com a desapropriação de imóvei</w:t>
      </w:r>
      <w:r>
        <w:rPr>
          <w:rFonts w:ascii="Arial" w:eastAsia="Arial" w:hAnsi="Arial" w:cs="Arial"/>
        </w:rPr>
        <w:t xml:space="preserve">s urbanos serão feitas com prévia e justa indenização em dinheiro. </w:t>
      </w:r>
    </w:p>
    <w:p w14:paraId="1D52540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38 - </w:t>
      </w:r>
      <w:r>
        <w:rPr>
          <w:rFonts w:ascii="Arial" w:eastAsia="Arial" w:hAnsi="Arial" w:cs="Arial"/>
        </w:rPr>
        <w:t>Para atendimento do § 3º do art. 165 da Constituição Federal, deverá o Chefe do Poder Executivo publicar relatório resumido da execução orçamentária, até trinta dias após o encer</w:t>
      </w:r>
      <w:r>
        <w:rPr>
          <w:rFonts w:ascii="Arial" w:eastAsia="Arial" w:hAnsi="Arial" w:cs="Arial"/>
        </w:rPr>
        <w:t xml:space="preserve">ramento de cada bimestre. </w:t>
      </w:r>
    </w:p>
    <w:p w14:paraId="7A6F02EF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39 - </w:t>
      </w:r>
      <w:r>
        <w:rPr>
          <w:rFonts w:ascii="Arial" w:eastAsia="Arial" w:hAnsi="Arial" w:cs="Arial"/>
        </w:rPr>
        <w:t xml:space="preserve">Para atendimento do Art. 54 da Lei de Responsabilidade Fiscal, deverá ao final de cada quadrimestre, ser emitido relatório de gestão fiscal assinado pelo Prefeito Municipal e pelo Presidente da Câmara de Vereadores. </w:t>
      </w:r>
    </w:p>
    <w:p w14:paraId="0FD07BF8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</w:t>
      </w:r>
      <w:r>
        <w:rPr>
          <w:rFonts w:ascii="Arial" w:eastAsia="Arial" w:hAnsi="Arial" w:cs="Arial"/>
          <w:b/>
          <w:bCs/>
        </w:rPr>
        <w:t xml:space="preserve">t. 40 - </w:t>
      </w:r>
      <w:r>
        <w:rPr>
          <w:rFonts w:ascii="Arial" w:eastAsia="Arial" w:hAnsi="Arial" w:cs="Arial"/>
        </w:rPr>
        <w:t xml:space="preserve">Se o orçamento não for sancionado até o final do exercício de seu encaminhamento ao Poder Legislativo, sua programação poderá ser executada, até o limite de dois doze avos do total de cada dotação. </w:t>
      </w:r>
    </w:p>
    <w:p w14:paraId="4C30975C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41 - </w:t>
      </w:r>
      <w:r>
        <w:rPr>
          <w:rFonts w:ascii="Arial" w:eastAsia="Arial" w:hAnsi="Arial" w:cs="Arial"/>
        </w:rPr>
        <w:t>O servidor da Administração Direta pode</w:t>
      </w:r>
      <w:r>
        <w:rPr>
          <w:rFonts w:ascii="Arial" w:eastAsia="Arial" w:hAnsi="Arial" w:cs="Arial"/>
        </w:rPr>
        <w:t xml:space="preserve">rá ser cedido para ter exercício em outro órgão ou entidade dos Poderes da União, dos Estados, do Distrito Federal e dos Municípios, nas seguintes hipóteses: </w:t>
      </w:r>
    </w:p>
    <w:p w14:paraId="7F2B7C1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I- Para exercício de cargo em comissão ou de função de confiança;</w:t>
      </w:r>
    </w:p>
    <w:p w14:paraId="424445C3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II- Em casos previstos em lei </w:t>
      </w:r>
      <w:r>
        <w:rPr>
          <w:rFonts w:ascii="Arial" w:eastAsia="Arial" w:hAnsi="Arial" w:cs="Arial"/>
        </w:rPr>
        <w:t>específica;</w:t>
      </w:r>
    </w:p>
    <w:p w14:paraId="503527B9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III- Em razão de convênios celebrados pelo Município. </w:t>
      </w:r>
    </w:p>
    <w:p w14:paraId="2241D4E7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Parágrafo único - Na hipótese do inciso I deste artigo, o ônus da remuneração será do órgão ou entidade a que for cedido o servidor. </w:t>
      </w:r>
    </w:p>
    <w:p w14:paraId="52915C96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42 -</w:t>
      </w:r>
      <w:r>
        <w:rPr>
          <w:rFonts w:ascii="Arial" w:eastAsia="Arial" w:hAnsi="Arial" w:cs="Arial"/>
        </w:rPr>
        <w:t xml:space="preserve"> Fazem parte integrante desta Lei os seguinte</w:t>
      </w:r>
      <w:r>
        <w:rPr>
          <w:rFonts w:ascii="Arial" w:eastAsia="Arial" w:hAnsi="Arial" w:cs="Arial"/>
        </w:rPr>
        <w:t>s Anexos:</w:t>
      </w:r>
    </w:p>
    <w:p w14:paraId="2D99C8F3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a) - Metas financeiras da LDO;</w:t>
      </w:r>
    </w:p>
    <w:p w14:paraId="7FBEDFAD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b) - Valores previstos por fonte de recurso;</w:t>
      </w:r>
    </w:p>
    <w:p w14:paraId="5897E20A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c) - Valores da despesa;</w:t>
      </w:r>
    </w:p>
    <w:p w14:paraId="55C76C94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d) - Valores previstos na receita da LDO;</w:t>
      </w:r>
    </w:p>
    <w:p w14:paraId="5E9D4686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e) - Resumo dos valores previstos na LDO por </w:t>
      </w:r>
      <w:proofErr w:type="gramStart"/>
      <w:r>
        <w:rPr>
          <w:rFonts w:ascii="Arial" w:eastAsia="Arial" w:hAnsi="Arial" w:cs="Arial"/>
        </w:rPr>
        <w:t>ação ;</w:t>
      </w:r>
      <w:proofErr w:type="gramEnd"/>
    </w:p>
    <w:p w14:paraId="52A77DF0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f) -Avaliação do Cumprimento das Metas Fiscais do E</w:t>
      </w:r>
      <w:r>
        <w:rPr>
          <w:rFonts w:ascii="Arial" w:eastAsia="Arial" w:hAnsi="Arial" w:cs="Arial"/>
        </w:rPr>
        <w:t>xercício Anterior</w:t>
      </w:r>
    </w:p>
    <w:p w14:paraId="7E97324E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g) - Metas Anuais</w:t>
      </w:r>
    </w:p>
    <w:p w14:paraId="0971DD8A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h)-</w:t>
      </w:r>
      <w:proofErr w:type="gramEnd"/>
      <w:r>
        <w:rPr>
          <w:rFonts w:ascii="Arial" w:eastAsia="Arial" w:hAnsi="Arial" w:cs="Arial"/>
        </w:rPr>
        <w:t xml:space="preserve"> Demonstrativo de Riscos Fiscais e Providências</w:t>
      </w:r>
    </w:p>
    <w:p w14:paraId="704CACB4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i) Evolução do Patrimônio Líquido</w:t>
      </w:r>
    </w:p>
    <w:p w14:paraId="488A70B9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j)-</w:t>
      </w:r>
      <w:proofErr w:type="gramEnd"/>
      <w:r>
        <w:rPr>
          <w:rFonts w:ascii="Arial" w:eastAsia="Arial" w:hAnsi="Arial" w:cs="Arial"/>
        </w:rPr>
        <w:t xml:space="preserve"> Metas da Despesa;</w:t>
      </w:r>
    </w:p>
    <w:p w14:paraId="02134273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k)-</w:t>
      </w:r>
      <w:proofErr w:type="gramEnd"/>
      <w:r>
        <w:rPr>
          <w:rFonts w:ascii="Arial" w:eastAsia="Arial" w:hAnsi="Arial" w:cs="Arial"/>
        </w:rPr>
        <w:t xml:space="preserve"> Metas da Dívida Pública;</w:t>
      </w:r>
    </w:p>
    <w:p w14:paraId="37E8F611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l)- Metas da Receita;</w:t>
      </w:r>
    </w:p>
    <w:p w14:paraId="7F34BE2B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m)- Relatório da Despesa LDO por Funcional Programática Consolidado;</w:t>
      </w:r>
    </w:p>
    <w:p w14:paraId="25708038" w14:textId="77777777" w:rsidR="00604D12" w:rsidRDefault="00887334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proofErr w:type="gramStart"/>
      <w:r>
        <w:rPr>
          <w:rFonts w:ascii="Arial" w:eastAsia="Arial" w:hAnsi="Arial" w:cs="Arial"/>
        </w:rPr>
        <w:t>n)-</w:t>
      </w:r>
      <w:proofErr w:type="gramEnd"/>
      <w:r>
        <w:rPr>
          <w:rFonts w:ascii="Arial" w:eastAsia="Arial" w:hAnsi="Arial" w:cs="Arial"/>
        </w:rPr>
        <w:t xml:space="preserve"> Resumo dos Valores Previstos na Despesa LDO por Programa.</w:t>
      </w:r>
    </w:p>
    <w:p w14:paraId="67F39CEA" w14:textId="77777777" w:rsidR="00604D12" w:rsidRDefault="008873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43 - </w:t>
      </w:r>
      <w:r>
        <w:rPr>
          <w:rFonts w:ascii="Arial" w:eastAsia="Arial" w:hAnsi="Arial" w:cs="Arial"/>
        </w:rPr>
        <w:t xml:space="preserve">Esta Lei entra em vigor na data de sua publicação, revogando as disposições em contrário. </w:t>
      </w:r>
    </w:p>
    <w:p w14:paraId="07D79C2C" w14:textId="77777777" w:rsidR="00604D12" w:rsidRDefault="00887334">
      <w:pPr>
        <w:spacing w:before="240" w:after="240" w:line="36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Timbó Grande, 11 de deze</w:t>
      </w:r>
      <w:r>
        <w:rPr>
          <w:rFonts w:ascii="Arial" w:eastAsia="Arial" w:hAnsi="Arial" w:cs="Arial"/>
        </w:rPr>
        <w:t>mbro de 2025.</w:t>
      </w:r>
    </w:p>
    <w:p w14:paraId="758EEB52" w14:textId="77777777" w:rsidR="00604D12" w:rsidRDefault="008873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06E6907E" w14:textId="77777777" w:rsidR="00604D12" w:rsidRDefault="008873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Ari José Galeski</w:t>
      </w:r>
      <w:r>
        <w:rPr>
          <w:rFonts w:ascii="Arial" w:eastAsia="Arial" w:hAnsi="Arial" w:cs="Arial"/>
          <w:b/>
          <w:bCs/>
        </w:rPr>
        <w:br/>
        <w:t xml:space="preserve"> Prefeito Municipal </w:t>
      </w:r>
    </w:p>
    <w:sectPr w:rsidR="00604D12">
      <w:headerReference w:type="default" r:id="rId15"/>
      <w:footerReference w:type="default" r:id="rId16"/>
      <w:pgSz w:w="11906" w:h="16838"/>
      <w:pgMar w:top="1417" w:right="1274" w:bottom="1417" w:left="1560" w:header="28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0B9C" w14:textId="77777777" w:rsidR="00887334" w:rsidRDefault="00887334">
      <w:r>
        <w:separator/>
      </w:r>
    </w:p>
  </w:endnote>
  <w:endnote w:type="continuationSeparator" w:id="0">
    <w:p w14:paraId="6151E0A5" w14:textId="77777777" w:rsidR="00887334" w:rsidRDefault="0088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A8EEA401-9B66-4D46-9EBA-8C67FAE7140E}"/>
    <w:embedItalic r:id="rId2" w:fontKey="{AD6FCE1C-4DC6-4003-BA60-D161D61445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80D3573-A5D4-4E86-ACE5-5F0609AFB83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0468638-011F-4B31-BA3D-8395F02E55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39B51" w14:textId="77777777" w:rsidR="00604D12" w:rsidRDefault="0088733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fldChar w:fldCharType="begin"/>
    </w:r>
    <w:r>
      <w:rPr>
        <w:rFonts w:ascii="Arial" w:eastAsia="Arial" w:hAnsi="Arial" w:cs="Arial"/>
        <w:color w:val="000000"/>
        <w:sz w:val="14"/>
        <w:szCs w:val="14"/>
      </w:rPr>
      <w:instrText>PAGE</w:instrText>
    </w:r>
    <w:r>
      <w:rPr>
        <w:rFonts w:ascii="Arial" w:eastAsia="Arial" w:hAnsi="Arial" w:cs="Arial"/>
        <w:color w:val="000000"/>
        <w:sz w:val="14"/>
        <w:szCs w:val="14"/>
      </w:rPr>
      <w:fldChar w:fldCharType="separate"/>
    </w:r>
    <w:r w:rsidR="0091382D">
      <w:rPr>
        <w:rFonts w:ascii="Arial" w:eastAsia="Arial" w:hAnsi="Arial" w:cs="Arial"/>
        <w:noProof/>
        <w:color w:val="000000"/>
        <w:sz w:val="14"/>
        <w:szCs w:val="14"/>
      </w:rPr>
      <w:t>1</w:t>
    </w:r>
    <w:r>
      <w:rPr>
        <w:rFonts w:ascii="Arial" w:eastAsia="Arial" w:hAnsi="Arial" w:cs="Arial"/>
        <w:color w:val="000000"/>
        <w:sz w:val="14"/>
        <w:szCs w:val="14"/>
      </w:rPr>
      <w:fldChar w:fldCharType="end"/>
    </w:r>
    <w:r>
      <w:rPr>
        <w:rFonts w:ascii="Arial" w:eastAsia="Arial" w:hAnsi="Arial" w:cs="Arial"/>
        <w:color w:val="000000"/>
        <w:sz w:val="14"/>
        <w:szCs w:val="14"/>
      </w:rPr>
      <w:t xml:space="preserve"> de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1382D">
      <w:rPr>
        <w:noProof/>
        <w:color w:val="000000"/>
      </w:rPr>
      <w:t>2</w:t>
    </w:r>
    <w:r>
      <w:rPr>
        <w:color w:val="000000"/>
      </w:rPr>
      <w:fldChar w:fldCharType="end"/>
    </w:r>
  </w:p>
  <w:p w14:paraId="304A3D21" w14:textId="77777777" w:rsidR="00604D12" w:rsidRDefault="00604D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8"/>
        <w:szCs w:val="8"/>
      </w:rPr>
    </w:pPr>
  </w:p>
  <w:p w14:paraId="2B17F880" w14:textId="77777777" w:rsidR="00604D12" w:rsidRDefault="008873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Rua Prefeito Argemiro Guedes dos Santos</w:t>
    </w:r>
    <w:r>
      <w:rPr>
        <w:rFonts w:ascii="Arial" w:eastAsia="Arial" w:hAnsi="Arial" w:cs="Arial"/>
        <w:color w:val="000000"/>
        <w:sz w:val="16"/>
        <w:szCs w:val="16"/>
      </w:rPr>
      <w:t>, 3</w:t>
    </w:r>
    <w:r>
      <w:rPr>
        <w:rFonts w:ascii="Arial" w:eastAsia="Arial" w:hAnsi="Arial" w:cs="Arial"/>
        <w:sz w:val="16"/>
        <w:szCs w:val="16"/>
      </w:rPr>
      <w:t>85</w:t>
    </w:r>
    <w:r>
      <w:rPr>
        <w:rFonts w:ascii="Arial" w:eastAsia="Arial" w:hAnsi="Arial" w:cs="Arial"/>
        <w:color w:val="000000"/>
        <w:sz w:val="16"/>
        <w:szCs w:val="16"/>
      </w:rPr>
      <w:t>, C</w:t>
    </w:r>
    <w:r>
      <w:rPr>
        <w:rFonts w:ascii="Arial" w:eastAsia="Arial" w:hAnsi="Arial" w:cs="Arial"/>
        <w:sz w:val="16"/>
        <w:szCs w:val="16"/>
      </w:rPr>
      <w:t>entro</w:t>
    </w:r>
    <w:r>
      <w:rPr>
        <w:rFonts w:ascii="Arial" w:eastAsia="Arial" w:hAnsi="Arial" w:cs="Arial"/>
        <w:color w:val="000000"/>
        <w:sz w:val="16"/>
        <w:szCs w:val="16"/>
      </w:rPr>
      <w:t>, Timbó Grande - SC, CEP 89545-000</w:t>
    </w:r>
  </w:p>
  <w:p w14:paraId="51A5145A" w14:textId="77777777" w:rsidR="00604D12" w:rsidRDefault="008873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Fone (49) 3540-0199 – www.timbogrande.sc.gov.br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C14B" w14:textId="77777777" w:rsidR="00887334" w:rsidRDefault="00887334">
      <w:r>
        <w:separator/>
      </w:r>
    </w:p>
  </w:footnote>
  <w:footnote w:type="continuationSeparator" w:id="0">
    <w:p w14:paraId="183FF014" w14:textId="77777777" w:rsidR="00887334" w:rsidRDefault="00887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D793D" w14:textId="77777777" w:rsidR="00604D12" w:rsidRDefault="008873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993" w:right="-851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BADB4DC" wp14:editId="72001BAF">
          <wp:extent cx="6518687" cy="1988007"/>
          <wp:effectExtent l="0" t="0" r="0" b="0"/>
          <wp:docPr id="119115307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18687" cy="1988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12"/>
    <w:rsid w:val="00604D12"/>
    <w:rsid w:val="00887334"/>
    <w:rsid w:val="0091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4C82F"/>
  <w15:docId w15:val="{757C0A73-BF81-46F8-B5E7-F8236E64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SimSun" w:eastAsia="SimSun" w:hAnsi="SimSun" w:cs="SimSun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link w:val="CorpodetextoChar"/>
    <w:qFormat/>
    <w:pPr>
      <w:spacing w:after="120"/>
    </w:p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rFonts w:eastAsia="SimSun"/>
      <w:lang w:val="en-US" w:eastAsia="zh-CN"/>
    </w:rPr>
  </w:style>
  <w:style w:type="paragraph" w:styleId="TextosemFormatao">
    <w:name w:val="Plain Text"/>
    <w:link w:val="TextosemFormataoChar"/>
    <w:unhideWhenUsed/>
    <w:qFormat/>
    <w:rPr>
      <w:rFonts w:ascii="Courier New" w:hAnsi="Courier New"/>
      <w:sz w:val="20"/>
      <w:szCs w:val="20"/>
    </w:rPr>
  </w:style>
  <w:style w:type="paragraph" w:styleId="Cabealho">
    <w:name w:val="header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link w:val="RecuodecorpodetextoChar"/>
    <w:unhideWhenUsed/>
    <w:qFormat/>
    <w:pPr>
      <w:ind w:firstLine="1440"/>
      <w:jc w:val="both"/>
    </w:pPr>
    <w:rPr>
      <w:rFonts w:ascii="Arial" w:hAnsi="Arial"/>
    </w:rPr>
  </w:style>
  <w:style w:type="character" w:customStyle="1" w:styleId="CabealhoChar">
    <w:name w:val="Cabeçalho Char"/>
    <w:link w:val="Cabealho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link w:val="Rodap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A070770">
    <w:name w:val="_A070770"/>
    <w:qFormat/>
    <w:pPr>
      <w:widowControl w:val="0"/>
      <w:ind w:left="864" w:right="576"/>
      <w:jc w:val="both"/>
    </w:pPr>
    <w:rPr>
      <w:color w:val="000000"/>
      <w:szCs w:val="20"/>
    </w:rPr>
  </w:style>
  <w:style w:type="paragraph" w:customStyle="1" w:styleId="A141070">
    <w:name w:val="_A141070"/>
    <w:qFormat/>
    <w:pPr>
      <w:widowControl w:val="0"/>
      <w:ind w:left="1296" w:right="576" w:firstLine="576"/>
      <w:jc w:val="both"/>
    </w:pPr>
    <w:rPr>
      <w:color w:val="000000"/>
      <w:szCs w:val="20"/>
    </w:rPr>
  </w:style>
  <w:style w:type="paragraph" w:customStyle="1" w:styleId="A121070">
    <w:name w:val="_A121070"/>
    <w:qFormat/>
    <w:pPr>
      <w:widowControl w:val="0"/>
      <w:ind w:left="1296" w:firstLine="288"/>
      <w:jc w:val="both"/>
    </w:pPr>
    <w:rPr>
      <w:color w:val="000000"/>
      <w:szCs w:val="20"/>
    </w:rPr>
  </w:style>
  <w:style w:type="paragraph" w:customStyle="1" w:styleId="A171070">
    <w:name w:val="_A171070"/>
    <w:qFormat/>
    <w:pPr>
      <w:widowControl w:val="0"/>
      <w:ind w:left="1296" w:firstLine="1008"/>
      <w:jc w:val="both"/>
    </w:pPr>
    <w:rPr>
      <w:color w:val="000000"/>
      <w:szCs w:val="20"/>
    </w:rPr>
  </w:style>
  <w:style w:type="character" w:customStyle="1" w:styleId="TtuloChar">
    <w:name w:val="Título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val="es-PY" w:eastAsia="pt-BR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uiPriority w:val="1"/>
    <w:qFormat/>
    <w:rPr>
      <w:rFonts w:ascii="Georgia" w:eastAsia="Georgia" w:hAnsi="Georgia" w:cs="Georgia"/>
      <w:lang w:val="pt-PT" w:eastAsia="en-US"/>
    </w:rPr>
  </w:style>
  <w:style w:type="table" w:customStyle="1" w:styleId="a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a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ff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3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4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5">
    <w:basedOn w:val="TableNormalff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13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is.org/federais/br/brasil/lei/emenda-constitucional/2000/29/emenda-constitucional-n-29-2000-altera-os-arts-34-35-156-160-167-e-198-da-constituicao-federal-e-acrescenta-artigo-ao-ato-das-disposicoes-constitucionais-transitorias-para-assegurar-os-recursos-minimos-para-o-financiamento-das-acoes-e-servicos-publicos-de-saude" TargetMode="External"/><Relationship Id="rId12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Relationship Id="rId14" Type="http://schemas.openxmlformats.org/officeDocument/2006/relationships/hyperlink" Target="https://leis.org/federais/br/brasil/lei/lei-ordinaria/1964/4320/lei-ordinaria-n-4320-1964-estatui-normas-gerais-de-direito-financeiro-para-elaboracao-e-controle-dos-orcamentos-e-balancos-da-uniao-dos-estados-dos-municipios-e-do-distrito-federa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4qgMertvI9IrMaFEUa1CGy3uew==">CgMxLjA4AHIhMXNMRm1vSWRFMjlfQWdSU2VHSnduSmh0WjlrNW5VRnA4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3331</Words>
  <Characters>17989</Characters>
  <Application>Microsoft Office Word</Application>
  <DocSecurity>0</DocSecurity>
  <Lines>149</Lines>
  <Paragraphs>42</Paragraphs>
  <ScaleCrop>false</ScaleCrop>
  <Company/>
  <LinksUpToDate>false</LinksUpToDate>
  <CharactersWithSpaces>21278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G. Pereira de Souza</dc:creator>
  <cp:lastModifiedBy>Rodrigo Rodrigues</cp:lastModifiedBy>
  <cp:revision>2</cp:revision>
  <dcterms:created xsi:type="dcterms:W3CDTF">2026-03-06T13:02:00Z</dcterms:created>
  <dcterms:modified xsi:type="dcterms:W3CDTF">2026-03-06T13:02:00Z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60FCB7D0DC5140E2B738CA7EB6EDCABF_13</vt:lpwstr>
  </property>
</Properties>
</file>